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64E919" w14:textId="77777777" w:rsidR="00525DCF" w:rsidRDefault="00525DCF" w:rsidP="00525DCF">
      <w:pPr>
        <w:jc w:val="center"/>
        <w:outlineLvl w:val="0"/>
      </w:pPr>
      <w:r>
        <w:t>Raport końcowy z realizacji projektu informatycznego</w:t>
      </w:r>
    </w:p>
    <w:tbl>
      <w:tblPr>
        <w:tblStyle w:val="Tabela-Siatka"/>
        <w:tblW w:w="9483" w:type="dxa"/>
        <w:tblInd w:w="-289" w:type="dxa"/>
        <w:tblLook w:val="04A0" w:firstRow="1" w:lastRow="0" w:firstColumn="1" w:lastColumn="0" w:noHBand="0" w:noVBand="1"/>
      </w:tblPr>
      <w:tblGrid>
        <w:gridCol w:w="513"/>
        <w:gridCol w:w="1535"/>
        <w:gridCol w:w="7435"/>
      </w:tblGrid>
      <w:tr w:rsidR="00525DCF" w:rsidRPr="002450C4" w14:paraId="4F40C2A6" w14:textId="77777777" w:rsidTr="00D70D9B">
        <w:tc>
          <w:tcPr>
            <w:tcW w:w="568" w:type="dxa"/>
          </w:tcPr>
          <w:p w14:paraId="124F445E" w14:textId="77777777" w:rsidR="00525DCF" w:rsidRPr="002450C4" w:rsidRDefault="00525DCF" w:rsidP="00EB22EF">
            <w:pPr>
              <w:jc w:val="center"/>
              <w:rPr>
                <w:b/>
                <w:sz w:val="18"/>
                <w:szCs w:val="20"/>
              </w:rPr>
            </w:pPr>
            <w:r w:rsidRPr="002450C4">
              <w:rPr>
                <w:b/>
                <w:sz w:val="18"/>
                <w:szCs w:val="20"/>
              </w:rPr>
              <w:t>Lp.</w:t>
            </w:r>
          </w:p>
        </w:tc>
        <w:tc>
          <w:tcPr>
            <w:tcW w:w="1525" w:type="dxa"/>
          </w:tcPr>
          <w:p w14:paraId="05FE8D4A" w14:textId="77777777" w:rsidR="00525DCF" w:rsidRPr="002450C4" w:rsidRDefault="00525DCF" w:rsidP="00EB22EF">
            <w:pPr>
              <w:jc w:val="center"/>
              <w:rPr>
                <w:b/>
                <w:sz w:val="18"/>
                <w:szCs w:val="20"/>
              </w:rPr>
            </w:pPr>
            <w:r w:rsidRPr="002450C4">
              <w:rPr>
                <w:b/>
                <w:sz w:val="18"/>
                <w:szCs w:val="20"/>
              </w:rPr>
              <w:t>Wyszczególnienie</w:t>
            </w:r>
          </w:p>
        </w:tc>
        <w:tc>
          <w:tcPr>
            <w:tcW w:w="7390" w:type="dxa"/>
          </w:tcPr>
          <w:p w14:paraId="117EF9C5" w14:textId="77777777" w:rsidR="00525DCF" w:rsidRPr="002450C4" w:rsidRDefault="00525DCF" w:rsidP="00EB22EF">
            <w:pPr>
              <w:jc w:val="center"/>
              <w:rPr>
                <w:b/>
                <w:sz w:val="18"/>
                <w:szCs w:val="20"/>
              </w:rPr>
            </w:pPr>
            <w:r w:rsidRPr="002450C4">
              <w:rPr>
                <w:b/>
                <w:sz w:val="18"/>
                <w:szCs w:val="20"/>
              </w:rPr>
              <w:t>Opis</w:t>
            </w:r>
          </w:p>
        </w:tc>
      </w:tr>
      <w:tr w:rsidR="00525DCF" w:rsidRPr="002450C4" w14:paraId="47D04428" w14:textId="77777777" w:rsidTr="00D70D9B">
        <w:tc>
          <w:tcPr>
            <w:tcW w:w="568" w:type="dxa"/>
          </w:tcPr>
          <w:p w14:paraId="02782A1B" w14:textId="77777777" w:rsidR="00525DCF" w:rsidRPr="002450C4" w:rsidRDefault="00525DCF" w:rsidP="00EB22EF">
            <w:pPr>
              <w:pStyle w:val="Akapitzlist"/>
              <w:numPr>
                <w:ilvl w:val="0"/>
                <w:numId w:val="1"/>
              </w:numPr>
              <w:rPr>
                <w:sz w:val="18"/>
                <w:szCs w:val="20"/>
              </w:rPr>
            </w:pPr>
          </w:p>
        </w:tc>
        <w:tc>
          <w:tcPr>
            <w:tcW w:w="1525" w:type="dxa"/>
          </w:tcPr>
          <w:p w14:paraId="56F41271" w14:textId="77777777" w:rsidR="00525DCF" w:rsidRPr="002450C4" w:rsidRDefault="00525DCF" w:rsidP="00EB22EF">
            <w:pPr>
              <w:rPr>
                <w:sz w:val="18"/>
                <w:szCs w:val="20"/>
              </w:rPr>
            </w:pPr>
            <w:r w:rsidRPr="002450C4">
              <w:rPr>
                <w:sz w:val="18"/>
                <w:szCs w:val="20"/>
              </w:rPr>
              <w:t>Tytuł projektu</w:t>
            </w:r>
          </w:p>
        </w:tc>
        <w:tc>
          <w:tcPr>
            <w:tcW w:w="7390" w:type="dxa"/>
          </w:tcPr>
          <w:p w14:paraId="6C746193" w14:textId="77777777" w:rsidR="00525DCF" w:rsidRPr="00222C64" w:rsidRDefault="00525DCF" w:rsidP="00EB22EF">
            <w:pPr>
              <w:jc w:val="both"/>
              <w:rPr>
                <w:b/>
                <w:i/>
                <w:sz w:val="18"/>
                <w:szCs w:val="20"/>
              </w:rPr>
            </w:pPr>
            <w:proofErr w:type="spellStart"/>
            <w:r w:rsidRPr="00222C64">
              <w:rPr>
                <w:b/>
                <w:i/>
                <w:sz w:val="18"/>
                <w:szCs w:val="20"/>
              </w:rPr>
              <w:t>EpiBaza</w:t>
            </w:r>
            <w:proofErr w:type="spellEnd"/>
            <w:r w:rsidRPr="00222C64">
              <w:rPr>
                <w:b/>
                <w:i/>
                <w:sz w:val="18"/>
                <w:szCs w:val="20"/>
              </w:rPr>
              <w:t xml:space="preserve"> – Udostępnienie zasobów Ogólnopolskiego Systemu Nad-</w:t>
            </w:r>
            <w:proofErr w:type="spellStart"/>
            <w:r w:rsidRPr="00222C64">
              <w:rPr>
                <w:b/>
                <w:i/>
                <w:sz w:val="18"/>
                <w:szCs w:val="20"/>
              </w:rPr>
              <w:t>zoru</w:t>
            </w:r>
            <w:proofErr w:type="spellEnd"/>
            <w:r w:rsidRPr="00222C64">
              <w:rPr>
                <w:b/>
                <w:i/>
                <w:sz w:val="18"/>
                <w:szCs w:val="20"/>
              </w:rPr>
              <w:t xml:space="preserve"> Epidemiologicznego i Środowiskowego nad Bezpieczeństwem Ludności</w:t>
            </w:r>
          </w:p>
        </w:tc>
      </w:tr>
      <w:tr w:rsidR="00525DCF" w:rsidRPr="002450C4" w14:paraId="515DF23B" w14:textId="77777777" w:rsidTr="00D70D9B">
        <w:trPr>
          <w:trHeight w:val="265"/>
        </w:trPr>
        <w:tc>
          <w:tcPr>
            <w:tcW w:w="568" w:type="dxa"/>
          </w:tcPr>
          <w:p w14:paraId="1BD380D5" w14:textId="77777777" w:rsidR="00525DCF" w:rsidRPr="002450C4" w:rsidRDefault="00525DCF" w:rsidP="00EB22EF">
            <w:pPr>
              <w:pStyle w:val="Akapitzlist"/>
              <w:numPr>
                <w:ilvl w:val="0"/>
                <w:numId w:val="1"/>
              </w:numPr>
              <w:rPr>
                <w:sz w:val="18"/>
                <w:szCs w:val="20"/>
              </w:rPr>
            </w:pPr>
          </w:p>
        </w:tc>
        <w:tc>
          <w:tcPr>
            <w:tcW w:w="1525" w:type="dxa"/>
          </w:tcPr>
          <w:p w14:paraId="1C023E1A" w14:textId="77777777" w:rsidR="00525DCF" w:rsidRPr="002450C4" w:rsidRDefault="00525DCF" w:rsidP="00EB22EF">
            <w:pPr>
              <w:rPr>
                <w:sz w:val="18"/>
                <w:szCs w:val="20"/>
              </w:rPr>
            </w:pPr>
            <w:r w:rsidRPr="002450C4">
              <w:rPr>
                <w:sz w:val="18"/>
                <w:szCs w:val="20"/>
              </w:rPr>
              <w:t xml:space="preserve">Beneficjent projektu </w:t>
            </w:r>
          </w:p>
        </w:tc>
        <w:tc>
          <w:tcPr>
            <w:tcW w:w="7390" w:type="dxa"/>
          </w:tcPr>
          <w:p w14:paraId="1D15334E" w14:textId="77777777" w:rsidR="00525DCF" w:rsidRPr="00222C64" w:rsidRDefault="00525DCF" w:rsidP="00EB22EF">
            <w:pPr>
              <w:jc w:val="both"/>
              <w:rPr>
                <w:b/>
                <w:i/>
                <w:sz w:val="18"/>
                <w:szCs w:val="20"/>
              </w:rPr>
            </w:pPr>
            <w:r w:rsidRPr="00222C64">
              <w:rPr>
                <w:b/>
                <w:i/>
                <w:sz w:val="18"/>
                <w:szCs w:val="20"/>
              </w:rPr>
              <w:t>Narodowy Instytut Zdrowia Publicznego- Państwowy Zakład Higieny</w:t>
            </w:r>
          </w:p>
        </w:tc>
      </w:tr>
      <w:tr w:rsidR="00525DCF" w:rsidRPr="002450C4" w14:paraId="29ADFC1E" w14:textId="77777777" w:rsidTr="00D70D9B">
        <w:tc>
          <w:tcPr>
            <w:tcW w:w="568" w:type="dxa"/>
          </w:tcPr>
          <w:p w14:paraId="1C22926F" w14:textId="77777777" w:rsidR="00525DCF" w:rsidRPr="002450C4" w:rsidRDefault="00525DCF" w:rsidP="00EB22EF">
            <w:pPr>
              <w:pStyle w:val="Akapitzlist"/>
              <w:numPr>
                <w:ilvl w:val="0"/>
                <w:numId w:val="1"/>
              </w:numPr>
              <w:rPr>
                <w:sz w:val="18"/>
                <w:szCs w:val="20"/>
              </w:rPr>
            </w:pPr>
          </w:p>
        </w:tc>
        <w:tc>
          <w:tcPr>
            <w:tcW w:w="1525" w:type="dxa"/>
          </w:tcPr>
          <w:p w14:paraId="75586D5C" w14:textId="77777777" w:rsidR="00525DCF" w:rsidRPr="002450C4" w:rsidRDefault="00525DCF" w:rsidP="00EB22EF">
            <w:pPr>
              <w:rPr>
                <w:sz w:val="18"/>
                <w:szCs w:val="20"/>
              </w:rPr>
            </w:pPr>
            <w:r w:rsidRPr="002450C4">
              <w:rPr>
                <w:sz w:val="18"/>
                <w:szCs w:val="20"/>
              </w:rPr>
              <w:t xml:space="preserve">Partnerzy </w:t>
            </w:r>
          </w:p>
        </w:tc>
        <w:tc>
          <w:tcPr>
            <w:tcW w:w="7390" w:type="dxa"/>
          </w:tcPr>
          <w:p w14:paraId="5C6855BC" w14:textId="77777777" w:rsidR="00525DCF" w:rsidRPr="00222C64" w:rsidRDefault="00525DCF" w:rsidP="00EB22EF">
            <w:pPr>
              <w:jc w:val="both"/>
              <w:rPr>
                <w:b/>
                <w:i/>
                <w:sz w:val="18"/>
                <w:szCs w:val="20"/>
              </w:rPr>
            </w:pPr>
            <w:r w:rsidRPr="00222C64">
              <w:rPr>
                <w:b/>
                <w:i/>
                <w:sz w:val="18"/>
                <w:szCs w:val="20"/>
              </w:rPr>
              <w:t xml:space="preserve">brak </w:t>
            </w:r>
          </w:p>
        </w:tc>
      </w:tr>
      <w:tr w:rsidR="00525DCF" w:rsidRPr="002450C4" w14:paraId="44BBA693" w14:textId="77777777" w:rsidTr="00D70D9B">
        <w:tc>
          <w:tcPr>
            <w:tcW w:w="568" w:type="dxa"/>
          </w:tcPr>
          <w:p w14:paraId="12ADD72E" w14:textId="77777777" w:rsidR="00525DCF" w:rsidRPr="002450C4" w:rsidRDefault="00525DCF" w:rsidP="00EB22EF">
            <w:pPr>
              <w:pStyle w:val="Akapitzlist"/>
              <w:numPr>
                <w:ilvl w:val="0"/>
                <w:numId w:val="1"/>
              </w:numPr>
              <w:rPr>
                <w:sz w:val="18"/>
                <w:szCs w:val="20"/>
              </w:rPr>
            </w:pPr>
          </w:p>
        </w:tc>
        <w:tc>
          <w:tcPr>
            <w:tcW w:w="1525" w:type="dxa"/>
          </w:tcPr>
          <w:p w14:paraId="3224AFBE" w14:textId="77777777" w:rsidR="00525DCF" w:rsidRDefault="00525DCF" w:rsidP="00D70D9B">
            <w:pPr>
              <w:ind w:left="166"/>
              <w:jc w:val="both"/>
              <w:rPr>
                <w:sz w:val="18"/>
                <w:szCs w:val="20"/>
              </w:rPr>
            </w:pPr>
            <w:r>
              <w:rPr>
                <w:sz w:val="18"/>
                <w:szCs w:val="20"/>
              </w:rPr>
              <w:t>Postęp finansowy</w:t>
            </w:r>
          </w:p>
        </w:tc>
        <w:tc>
          <w:tcPr>
            <w:tcW w:w="7390" w:type="dxa"/>
          </w:tcPr>
          <w:p w14:paraId="4476D00F" w14:textId="77777777" w:rsidR="00554CF3" w:rsidRDefault="008C7AA0" w:rsidP="00554CF3">
            <w:pPr>
              <w:jc w:val="both"/>
              <w:rPr>
                <w:i/>
                <w:sz w:val="18"/>
                <w:szCs w:val="20"/>
              </w:rPr>
            </w:pPr>
            <w:r>
              <w:rPr>
                <w:i/>
                <w:sz w:val="18"/>
                <w:szCs w:val="20"/>
              </w:rPr>
              <w:t>Poniższa tabela przedstawia całkowite koszty projektu</w:t>
            </w:r>
          </w:p>
          <w:p w14:paraId="1D18A698" w14:textId="77777777" w:rsidR="00554CF3" w:rsidRDefault="00554CF3" w:rsidP="00554CF3">
            <w:pPr>
              <w:jc w:val="both"/>
              <w:rPr>
                <w:i/>
                <w:sz w:val="18"/>
                <w:szCs w:val="20"/>
              </w:rPr>
            </w:pPr>
          </w:p>
          <w:tbl>
            <w:tblPr>
              <w:tblStyle w:val="Tabela-Siatka"/>
              <w:tblW w:w="0" w:type="auto"/>
              <w:tblLook w:val="04A0" w:firstRow="1" w:lastRow="0" w:firstColumn="1" w:lastColumn="0" w:noHBand="0" w:noVBand="1"/>
            </w:tblPr>
            <w:tblGrid>
              <w:gridCol w:w="3003"/>
              <w:gridCol w:w="3003"/>
            </w:tblGrid>
            <w:tr w:rsidR="00554CF3" w14:paraId="352D12BF" w14:textId="77777777" w:rsidTr="00554CF3">
              <w:tc>
                <w:tcPr>
                  <w:tcW w:w="3003" w:type="dxa"/>
                </w:tcPr>
                <w:p w14:paraId="55BBD236" w14:textId="77777777" w:rsidR="00554CF3" w:rsidRPr="00554CF3" w:rsidRDefault="00554CF3" w:rsidP="00554CF3">
                  <w:pPr>
                    <w:rPr>
                      <w:i/>
                      <w:sz w:val="18"/>
                      <w:szCs w:val="20"/>
                    </w:rPr>
                  </w:pPr>
                  <w:r w:rsidRPr="00554CF3">
                    <w:rPr>
                      <w:i/>
                      <w:sz w:val="18"/>
                      <w:szCs w:val="20"/>
                    </w:rPr>
                    <w:t>Źródło finansowania</w:t>
                  </w:r>
                </w:p>
              </w:tc>
              <w:tc>
                <w:tcPr>
                  <w:tcW w:w="3003" w:type="dxa"/>
                </w:tcPr>
                <w:p w14:paraId="217C35EA" w14:textId="77777777" w:rsidR="00554CF3" w:rsidRPr="00554CF3" w:rsidRDefault="00554CF3" w:rsidP="00554CF3">
                  <w:pPr>
                    <w:rPr>
                      <w:i/>
                      <w:sz w:val="18"/>
                      <w:szCs w:val="20"/>
                    </w:rPr>
                  </w:pPr>
                  <w:r w:rsidRPr="00554CF3">
                    <w:rPr>
                      <w:i/>
                      <w:sz w:val="18"/>
                      <w:szCs w:val="20"/>
                    </w:rPr>
                    <w:t>Projekt współfinansowany przez Unię Europejską ze środków Europejskiego Funduszu Rozwoju Regionalnego w ramach Programu Operacyjnego Polska Cyfrowa, Poddziałanie 2.3.1 „Cyfrowe udostępnienie informacji sektora publicznego ze źródeł administracyjnych i zasobów nauki”(typ projektu: cyfrowe udostępnienie ISP ze źródeł administracyjnych).</w:t>
                  </w:r>
                </w:p>
              </w:tc>
            </w:tr>
            <w:tr w:rsidR="00554CF3" w14:paraId="294EAAEA" w14:textId="77777777" w:rsidTr="00554CF3">
              <w:tc>
                <w:tcPr>
                  <w:tcW w:w="3003" w:type="dxa"/>
                </w:tcPr>
                <w:p w14:paraId="1D3500D5" w14:textId="77777777" w:rsidR="00554CF3" w:rsidRPr="00554CF3" w:rsidRDefault="00554CF3" w:rsidP="00554CF3">
                  <w:pPr>
                    <w:rPr>
                      <w:i/>
                      <w:sz w:val="18"/>
                      <w:szCs w:val="20"/>
                    </w:rPr>
                  </w:pPr>
                  <w:r w:rsidRPr="00554CF3">
                    <w:rPr>
                      <w:i/>
                      <w:sz w:val="18"/>
                      <w:szCs w:val="20"/>
                    </w:rPr>
                    <w:t>Budżet państwa. ( Część 46 - Zdrowie)</w:t>
                  </w:r>
                </w:p>
              </w:tc>
              <w:tc>
                <w:tcPr>
                  <w:tcW w:w="3003" w:type="dxa"/>
                </w:tcPr>
                <w:p w14:paraId="156D9DE2" w14:textId="77777777" w:rsidR="00554CF3" w:rsidRPr="00554CF3" w:rsidRDefault="00554CF3" w:rsidP="00554CF3">
                  <w:pPr>
                    <w:rPr>
                      <w:i/>
                      <w:sz w:val="18"/>
                      <w:szCs w:val="20"/>
                    </w:rPr>
                  </w:pPr>
                </w:p>
              </w:tc>
            </w:tr>
            <w:tr w:rsidR="00554CF3" w14:paraId="34722CB2" w14:textId="77777777" w:rsidTr="00554CF3">
              <w:tc>
                <w:tcPr>
                  <w:tcW w:w="3003" w:type="dxa"/>
                </w:tcPr>
                <w:p w14:paraId="49FF953F" w14:textId="77777777" w:rsidR="00554CF3" w:rsidRPr="00554CF3" w:rsidRDefault="00554CF3" w:rsidP="008C7AA0">
                  <w:pPr>
                    <w:rPr>
                      <w:i/>
                      <w:sz w:val="18"/>
                      <w:szCs w:val="20"/>
                    </w:rPr>
                  </w:pPr>
                  <w:r w:rsidRPr="00554CF3">
                    <w:rPr>
                      <w:i/>
                      <w:sz w:val="18"/>
                      <w:szCs w:val="20"/>
                    </w:rPr>
                    <w:t>Całkowity koszt projektu</w:t>
                  </w:r>
                  <w:r>
                    <w:rPr>
                      <w:i/>
                      <w:sz w:val="18"/>
                      <w:szCs w:val="20"/>
                    </w:rPr>
                    <w:t xml:space="preserve"> (</w:t>
                  </w:r>
                  <w:r w:rsidR="008C7AA0">
                    <w:rPr>
                      <w:i/>
                      <w:sz w:val="18"/>
                      <w:szCs w:val="20"/>
                    </w:rPr>
                    <w:t xml:space="preserve">zakładany koszt realizacji projektu na dzień podpisania </w:t>
                  </w:r>
                  <w:r>
                    <w:rPr>
                      <w:i/>
                      <w:sz w:val="18"/>
                      <w:szCs w:val="20"/>
                    </w:rPr>
                    <w:t>umow</w:t>
                  </w:r>
                  <w:r w:rsidR="008C7AA0">
                    <w:rPr>
                      <w:i/>
                      <w:sz w:val="18"/>
                      <w:szCs w:val="20"/>
                    </w:rPr>
                    <w:t>y</w:t>
                  </w:r>
                  <w:r>
                    <w:rPr>
                      <w:i/>
                      <w:sz w:val="18"/>
                      <w:szCs w:val="20"/>
                    </w:rPr>
                    <w:t xml:space="preserve"> o dofinansowanie)</w:t>
                  </w:r>
                </w:p>
              </w:tc>
              <w:tc>
                <w:tcPr>
                  <w:tcW w:w="3003" w:type="dxa"/>
                </w:tcPr>
                <w:p w14:paraId="6D0D5B3D" w14:textId="77777777" w:rsidR="00554CF3" w:rsidRPr="00554CF3" w:rsidRDefault="008C7AA0" w:rsidP="00554CF3">
                  <w:pPr>
                    <w:rPr>
                      <w:i/>
                      <w:sz w:val="18"/>
                      <w:szCs w:val="20"/>
                    </w:rPr>
                  </w:pPr>
                  <w:r w:rsidRPr="008C7AA0">
                    <w:rPr>
                      <w:i/>
                      <w:sz w:val="18"/>
                      <w:szCs w:val="20"/>
                    </w:rPr>
                    <w:t>25 533 805,04</w:t>
                  </w:r>
                  <w:r>
                    <w:rPr>
                      <w:i/>
                      <w:sz w:val="18"/>
                      <w:szCs w:val="20"/>
                    </w:rPr>
                    <w:t xml:space="preserve"> </w:t>
                  </w:r>
                  <w:r w:rsidR="00554CF3" w:rsidRPr="00554CF3">
                    <w:rPr>
                      <w:i/>
                      <w:sz w:val="18"/>
                      <w:szCs w:val="20"/>
                    </w:rPr>
                    <w:t>zł</w:t>
                  </w:r>
                </w:p>
              </w:tc>
            </w:tr>
            <w:tr w:rsidR="00554CF3" w14:paraId="7D34D626" w14:textId="77777777" w:rsidTr="00554CF3">
              <w:tc>
                <w:tcPr>
                  <w:tcW w:w="3003" w:type="dxa"/>
                </w:tcPr>
                <w:p w14:paraId="1B29741F" w14:textId="77777777" w:rsidR="00554CF3" w:rsidRPr="00554CF3" w:rsidRDefault="00554CF3" w:rsidP="00554CF3">
                  <w:pPr>
                    <w:rPr>
                      <w:i/>
                      <w:sz w:val="18"/>
                      <w:szCs w:val="20"/>
                    </w:rPr>
                  </w:pPr>
                  <w:r w:rsidRPr="00554CF3">
                    <w:rPr>
                      <w:i/>
                      <w:sz w:val="18"/>
                      <w:szCs w:val="20"/>
                    </w:rPr>
                    <w:t>Całkowity koszt projektu</w:t>
                  </w:r>
                  <w:r>
                    <w:rPr>
                      <w:i/>
                      <w:sz w:val="18"/>
                      <w:szCs w:val="20"/>
                    </w:rPr>
                    <w:t xml:space="preserve"> (umowa o dofinansowanie po zmianach)</w:t>
                  </w:r>
                </w:p>
              </w:tc>
              <w:tc>
                <w:tcPr>
                  <w:tcW w:w="3003" w:type="dxa"/>
                </w:tcPr>
                <w:p w14:paraId="2058795E" w14:textId="77777777" w:rsidR="00554CF3" w:rsidRPr="00554CF3" w:rsidRDefault="00554CF3" w:rsidP="00554CF3">
                  <w:pPr>
                    <w:rPr>
                      <w:i/>
                      <w:sz w:val="18"/>
                      <w:szCs w:val="20"/>
                    </w:rPr>
                  </w:pPr>
                  <w:r w:rsidRPr="00554CF3">
                    <w:rPr>
                      <w:i/>
                      <w:sz w:val="18"/>
                      <w:szCs w:val="20"/>
                    </w:rPr>
                    <w:t>21 926 866,94 zł</w:t>
                  </w:r>
                </w:p>
              </w:tc>
            </w:tr>
            <w:tr w:rsidR="008C7AA0" w14:paraId="269C5478" w14:textId="77777777" w:rsidTr="00554CF3">
              <w:tc>
                <w:tcPr>
                  <w:tcW w:w="3003" w:type="dxa"/>
                </w:tcPr>
                <w:p w14:paraId="6F086930" w14:textId="77777777" w:rsidR="008C7AA0" w:rsidRPr="00554CF3" w:rsidRDefault="008C7AA0" w:rsidP="00554CF3">
                  <w:pPr>
                    <w:rPr>
                      <w:i/>
                      <w:sz w:val="18"/>
                      <w:szCs w:val="20"/>
                    </w:rPr>
                  </w:pPr>
                  <w:r>
                    <w:rPr>
                      <w:i/>
                      <w:sz w:val="18"/>
                      <w:szCs w:val="20"/>
                    </w:rPr>
                    <w:t xml:space="preserve">Wydatki faktycznie zrealizowane na dzień 31.07.2019 r. </w:t>
                  </w:r>
                </w:p>
              </w:tc>
              <w:tc>
                <w:tcPr>
                  <w:tcW w:w="3003" w:type="dxa"/>
                </w:tcPr>
                <w:p w14:paraId="30B83A2B" w14:textId="77777777" w:rsidR="008C7AA0" w:rsidRPr="00554CF3" w:rsidRDefault="008E56A8" w:rsidP="00554CF3">
                  <w:pPr>
                    <w:rPr>
                      <w:i/>
                      <w:sz w:val="18"/>
                      <w:szCs w:val="20"/>
                    </w:rPr>
                  </w:pPr>
                  <w:r>
                    <w:rPr>
                      <w:i/>
                      <w:sz w:val="18"/>
                      <w:szCs w:val="20"/>
                    </w:rPr>
                    <w:t>21 866 615,50 zł</w:t>
                  </w:r>
                </w:p>
              </w:tc>
            </w:tr>
          </w:tbl>
          <w:p w14:paraId="3216C974" w14:textId="77777777" w:rsidR="00C96818" w:rsidRDefault="00C96818" w:rsidP="00554CF3">
            <w:pPr>
              <w:jc w:val="both"/>
              <w:rPr>
                <w:i/>
                <w:sz w:val="18"/>
                <w:szCs w:val="20"/>
              </w:rPr>
            </w:pPr>
          </w:p>
          <w:p w14:paraId="38CD671C" w14:textId="5F69FA5E" w:rsidR="00C96818" w:rsidRDefault="00C96818" w:rsidP="00554CF3">
            <w:pPr>
              <w:jc w:val="both"/>
              <w:rPr>
                <w:i/>
                <w:sz w:val="18"/>
                <w:szCs w:val="20"/>
              </w:rPr>
            </w:pPr>
            <w:r>
              <w:rPr>
                <w:i/>
                <w:sz w:val="18"/>
                <w:szCs w:val="20"/>
              </w:rPr>
              <w:t>Poziom certyfikacji w odniesieniu do dofinansowania, na dzień złożenia niniejszego raportu wynosi 43,3%</w:t>
            </w:r>
            <w:r w:rsidR="00F152C2">
              <w:rPr>
                <w:i/>
                <w:sz w:val="18"/>
                <w:szCs w:val="20"/>
              </w:rPr>
              <w:t>. W ocenie Instytucji Poś</w:t>
            </w:r>
            <w:r>
              <w:rPr>
                <w:i/>
                <w:sz w:val="18"/>
                <w:szCs w:val="20"/>
              </w:rPr>
              <w:t>redniczącej jest o</w:t>
            </w:r>
            <w:r w:rsidR="00F152C2">
              <w:rPr>
                <w:i/>
                <w:sz w:val="18"/>
                <w:szCs w:val="20"/>
              </w:rPr>
              <w:t>statni wniosek o płatność końcową.</w:t>
            </w:r>
            <w:bookmarkStart w:id="0" w:name="_GoBack"/>
            <w:bookmarkEnd w:id="0"/>
          </w:p>
          <w:p w14:paraId="3AF961CF" w14:textId="77777777" w:rsidR="00C96818" w:rsidRDefault="00C96818" w:rsidP="00554CF3">
            <w:pPr>
              <w:jc w:val="both"/>
              <w:rPr>
                <w:i/>
                <w:sz w:val="18"/>
                <w:szCs w:val="20"/>
              </w:rPr>
            </w:pPr>
          </w:p>
          <w:p w14:paraId="5661590F" w14:textId="2E8843D5" w:rsidR="00554CF3" w:rsidRDefault="005C20EC" w:rsidP="00554CF3">
            <w:pPr>
              <w:jc w:val="both"/>
              <w:rPr>
                <w:i/>
                <w:sz w:val="18"/>
                <w:szCs w:val="20"/>
              </w:rPr>
            </w:pPr>
            <w:r>
              <w:rPr>
                <w:i/>
                <w:sz w:val="18"/>
                <w:szCs w:val="20"/>
              </w:rPr>
              <w:t xml:space="preserve">Odchylenia od pierwotnych szacunków wynikają z oszczędności powstałych po realizacji postępowań o udzielenie zamówienia publicznego na realizację działań związanych z digitalizacją zasobów  (urealnienie kwot wynikających ze złożonych przez Wykonawców ofert) oraz proporcjonalnemu zmniejszeniu wysokości kosztów pośrednich stanowiących % kosztów merytorycznych. </w:t>
            </w:r>
          </w:p>
          <w:p w14:paraId="3C9F0B49" w14:textId="3235918E" w:rsidR="005C20EC" w:rsidRDefault="005C20EC" w:rsidP="00554CF3">
            <w:pPr>
              <w:jc w:val="both"/>
              <w:rPr>
                <w:i/>
                <w:sz w:val="18"/>
                <w:szCs w:val="20"/>
              </w:rPr>
            </w:pPr>
            <w:r>
              <w:rPr>
                <w:i/>
                <w:sz w:val="18"/>
                <w:szCs w:val="20"/>
              </w:rPr>
              <w:t>W trakcie realizacji projektu nie naliczono kar finansowych na Wykonawców, wszystkie zadania zrealizowane zostały w terminach określonych w umowach z Wykonawcami.</w:t>
            </w:r>
          </w:p>
          <w:p w14:paraId="6FA269A4" w14:textId="77777777" w:rsidR="00525DCF" w:rsidRPr="002450C4" w:rsidRDefault="00525DCF" w:rsidP="00554CF3">
            <w:pPr>
              <w:jc w:val="both"/>
              <w:rPr>
                <w:i/>
                <w:sz w:val="18"/>
                <w:szCs w:val="20"/>
              </w:rPr>
            </w:pPr>
          </w:p>
        </w:tc>
      </w:tr>
      <w:tr w:rsidR="00525DCF" w:rsidRPr="002450C4" w14:paraId="3DD8E565" w14:textId="77777777" w:rsidTr="00D70D9B">
        <w:tc>
          <w:tcPr>
            <w:tcW w:w="568" w:type="dxa"/>
          </w:tcPr>
          <w:p w14:paraId="6DF221C0" w14:textId="3C80BF3E" w:rsidR="00525DCF" w:rsidRPr="002450C4" w:rsidRDefault="00525DCF" w:rsidP="00EB22EF">
            <w:pPr>
              <w:pStyle w:val="Akapitzlist"/>
              <w:numPr>
                <w:ilvl w:val="0"/>
                <w:numId w:val="1"/>
              </w:numPr>
              <w:rPr>
                <w:sz w:val="18"/>
                <w:szCs w:val="20"/>
              </w:rPr>
            </w:pPr>
          </w:p>
        </w:tc>
        <w:tc>
          <w:tcPr>
            <w:tcW w:w="1525" w:type="dxa"/>
          </w:tcPr>
          <w:p w14:paraId="7D05C678" w14:textId="77777777" w:rsidR="00525DCF" w:rsidRPr="002450C4" w:rsidRDefault="00525DCF" w:rsidP="00EB22EF">
            <w:pPr>
              <w:rPr>
                <w:sz w:val="18"/>
                <w:szCs w:val="20"/>
              </w:rPr>
            </w:pPr>
            <w:r>
              <w:rPr>
                <w:sz w:val="18"/>
                <w:szCs w:val="20"/>
              </w:rPr>
              <w:t>Postęp rzeczowy</w:t>
            </w:r>
          </w:p>
        </w:tc>
        <w:tc>
          <w:tcPr>
            <w:tcW w:w="7390" w:type="dxa"/>
          </w:tcPr>
          <w:p w14:paraId="619BF662" w14:textId="77777777" w:rsidR="00676E42" w:rsidRPr="002450C4" w:rsidRDefault="00676E42" w:rsidP="009745BB">
            <w:pPr>
              <w:jc w:val="both"/>
              <w:rPr>
                <w:i/>
                <w:sz w:val="18"/>
                <w:szCs w:val="20"/>
              </w:rPr>
            </w:pPr>
            <w:r>
              <w:rPr>
                <w:i/>
                <w:sz w:val="18"/>
                <w:szCs w:val="20"/>
              </w:rPr>
              <w:t>Poniżej przedstawiony został poziom rzeczowy realizacji projektu wraz ze statusem realizacji poszczególnych kamieni milowych:</w:t>
            </w:r>
          </w:p>
          <w:tbl>
            <w:tblPr>
              <w:tblStyle w:val="Tabela-Siatka"/>
              <w:tblW w:w="5000" w:type="pct"/>
              <w:tblLook w:val="04A0" w:firstRow="1" w:lastRow="0" w:firstColumn="1" w:lastColumn="0" w:noHBand="0" w:noVBand="1"/>
              <w:tblCaption w:val="Kamienie milowe."/>
            </w:tblPr>
            <w:tblGrid>
              <w:gridCol w:w="1684"/>
              <w:gridCol w:w="1035"/>
              <w:gridCol w:w="1088"/>
              <w:gridCol w:w="1159"/>
              <w:gridCol w:w="2243"/>
            </w:tblGrid>
            <w:tr w:rsidR="001E1BB2" w:rsidRPr="001E1BB2" w14:paraId="7702FA05" w14:textId="77777777" w:rsidTr="001E1BB2">
              <w:trPr>
                <w:tblHeader/>
              </w:trPr>
              <w:tc>
                <w:tcPr>
                  <w:tcW w:w="1166" w:type="pct"/>
                  <w:shd w:val="clear" w:color="auto" w:fill="D0CECE" w:themeFill="background2" w:themeFillShade="E6"/>
                </w:tcPr>
                <w:p w14:paraId="3747F321" w14:textId="77777777" w:rsidR="00676E42" w:rsidRPr="001E1BB2" w:rsidRDefault="00676E42" w:rsidP="00676E42">
                  <w:pPr>
                    <w:rPr>
                      <w:rFonts w:ascii="Arial" w:hAnsi="Arial" w:cs="Arial"/>
                      <w:b/>
                      <w:sz w:val="16"/>
                      <w:szCs w:val="16"/>
                    </w:rPr>
                  </w:pPr>
                  <w:r w:rsidRPr="001E1BB2">
                    <w:rPr>
                      <w:rFonts w:ascii="Arial" w:hAnsi="Arial" w:cs="Arial"/>
                      <w:b/>
                      <w:sz w:val="16"/>
                      <w:szCs w:val="16"/>
                    </w:rPr>
                    <w:t>Nazwa</w:t>
                  </w:r>
                </w:p>
              </w:tc>
              <w:tc>
                <w:tcPr>
                  <w:tcW w:w="720"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5E47178C" w14:textId="77777777" w:rsidR="00676E42" w:rsidRPr="001E1BB2" w:rsidRDefault="00676E42" w:rsidP="00676E42">
                  <w:pPr>
                    <w:rPr>
                      <w:rFonts w:ascii="Arial" w:hAnsi="Arial" w:cs="Arial"/>
                      <w:b/>
                      <w:sz w:val="16"/>
                      <w:szCs w:val="16"/>
                    </w:rPr>
                  </w:pPr>
                  <w:r w:rsidRPr="001E1BB2">
                    <w:rPr>
                      <w:rFonts w:ascii="Arial" w:hAnsi="Arial" w:cs="Arial"/>
                      <w:b/>
                      <w:sz w:val="16"/>
                      <w:szCs w:val="16"/>
                    </w:rPr>
                    <w:t xml:space="preserve">Powiązane wskaźniki projektu </w:t>
                  </w:r>
                  <w:r w:rsidRPr="001E1BB2">
                    <w:rPr>
                      <w:rStyle w:val="Odwoanieprzypisudolnego"/>
                      <w:rFonts w:ascii="Arial" w:hAnsi="Arial" w:cs="Arial"/>
                      <w:b/>
                      <w:sz w:val="16"/>
                      <w:szCs w:val="16"/>
                    </w:rPr>
                    <w:footnoteReference w:id="1"/>
                  </w:r>
                </w:p>
              </w:tc>
              <w:tc>
                <w:tcPr>
                  <w:tcW w:w="757" w:type="pct"/>
                  <w:shd w:val="clear" w:color="auto" w:fill="D0CECE" w:themeFill="background2" w:themeFillShade="E6"/>
                </w:tcPr>
                <w:p w14:paraId="685F388A" w14:textId="77777777" w:rsidR="00676E42" w:rsidRPr="001E1BB2" w:rsidRDefault="00676E42" w:rsidP="00676E42">
                  <w:pPr>
                    <w:rPr>
                      <w:rFonts w:ascii="Arial" w:hAnsi="Arial" w:cs="Arial"/>
                      <w:b/>
                      <w:sz w:val="16"/>
                      <w:szCs w:val="16"/>
                    </w:rPr>
                  </w:pPr>
                  <w:r w:rsidRPr="001E1BB2">
                    <w:rPr>
                      <w:rFonts w:ascii="Arial" w:hAnsi="Arial" w:cs="Arial"/>
                      <w:b/>
                      <w:sz w:val="16"/>
                      <w:szCs w:val="16"/>
                    </w:rPr>
                    <w:t>Planowany termin osiągnięcia</w:t>
                  </w:r>
                </w:p>
              </w:tc>
              <w:tc>
                <w:tcPr>
                  <w:tcW w:w="1012" w:type="pct"/>
                  <w:shd w:val="clear" w:color="auto" w:fill="D0CECE" w:themeFill="background2" w:themeFillShade="E6"/>
                </w:tcPr>
                <w:p w14:paraId="2808E871" w14:textId="77777777" w:rsidR="00676E42" w:rsidRPr="001E1BB2" w:rsidRDefault="00676E42" w:rsidP="00676E42">
                  <w:pPr>
                    <w:rPr>
                      <w:rFonts w:ascii="Arial" w:hAnsi="Arial" w:cs="Arial"/>
                      <w:b/>
                      <w:sz w:val="16"/>
                      <w:szCs w:val="16"/>
                    </w:rPr>
                  </w:pPr>
                  <w:r w:rsidRPr="001E1BB2">
                    <w:rPr>
                      <w:rFonts w:ascii="Arial" w:hAnsi="Arial" w:cs="Arial"/>
                      <w:b/>
                      <w:sz w:val="16"/>
                      <w:szCs w:val="16"/>
                    </w:rPr>
                    <w:t>Rzeczywisty termin osiągnięcia</w:t>
                  </w:r>
                </w:p>
              </w:tc>
              <w:tc>
                <w:tcPr>
                  <w:tcW w:w="1346" w:type="pct"/>
                  <w:shd w:val="clear" w:color="auto" w:fill="D0CECE" w:themeFill="background2" w:themeFillShade="E6"/>
                </w:tcPr>
                <w:p w14:paraId="78C9F683" w14:textId="77777777" w:rsidR="00676E42" w:rsidRPr="001E1BB2" w:rsidRDefault="00676E42" w:rsidP="00676E42">
                  <w:pPr>
                    <w:rPr>
                      <w:rFonts w:ascii="Arial" w:hAnsi="Arial" w:cs="Arial"/>
                      <w:b/>
                      <w:sz w:val="16"/>
                      <w:szCs w:val="16"/>
                    </w:rPr>
                  </w:pPr>
                  <w:r w:rsidRPr="001E1BB2">
                    <w:rPr>
                      <w:rFonts w:ascii="Arial" w:hAnsi="Arial" w:cs="Arial"/>
                      <w:b/>
                      <w:sz w:val="16"/>
                      <w:szCs w:val="16"/>
                    </w:rPr>
                    <w:t>Status realizacji kamienia milowego</w:t>
                  </w:r>
                </w:p>
              </w:tc>
            </w:tr>
            <w:tr w:rsidR="001E1BB2" w:rsidRPr="001E1BB2" w14:paraId="7599845B" w14:textId="77777777" w:rsidTr="001E1BB2">
              <w:tc>
                <w:tcPr>
                  <w:tcW w:w="1166" w:type="pct"/>
                  <w:vAlign w:val="center"/>
                </w:tcPr>
                <w:p w14:paraId="483E8A87" w14:textId="77777777" w:rsidR="00676E42" w:rsidRPr="001E1BB2" w:rsidRDefault="00676E42" w:rsidP="00676E42">
                  <w:pPr>
                    <w:rPr>
                      <w:rFonts w:ascii="Arial" w:hAnsi="Arial" w:cs="Arial"/>
                      <w:b/>
                      <w:color w:val="0070C0"/>
                      <w:sz w:val="16"/>
                      <w:szCs w:val="16"/>
                    </w:rPr>
                  </w:pPr>
                  <w:r w:rsidRPr="001E1BB2">
                    <w:rPr>
                      <w:rFonts w:ascii="Arial" w:hAnsi="Arial" w:cs="Arial"/>
                      <w:b/>
                      <w:color w:val="000000"/>
                      <w:sz w:val="16"/>
                      <w:szCs w:val="16"/>
                    </w:rPr>
                    <w:t>KM - Opracowany i zatwierdzony standard gromadzenia danych,</w:t>
                  </w:r>
                </w:p>
              </w:tc>
              <w:tc>
                <w:tcPr>
                  <w:tcW w:w="720" w:type="pct"/>
                  <w:tcBorders>
                    <w:top w:val="single" w:sz="4" w:space="0" w:color="auto"/>
                    <w:left w:val="single" w:sz="4" w:space="0" w:color="auto"/>
                    <w:bottom w:val="single" w:sz="4" w:space="0" w:color="auto"/>
                    <w:right w:val="single" w:sz="4" w:space="0" w:color="auto"/>
                  </w:tcBorders>
                  <w:shd w:val="clear" w:color="auto" w:fill="auto"/>
                </w:tcPr>
                <w:p w14:paraId="2255287F"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2 - 196 390,00 szt.</w:t>
                  </w:r>
                </w:p>
              </w:tc>
              <w:tc>
                <w:tcPr>
                  <w:tcW w:w="757" w:type="pct"/>
                  <w:vAlign w:val="center"/>
                </w:tcPr>
                <w:p w14:paraId="37FF669B" w14:textId="77777777" w:rsidR="00676E42" w:rsidRPr="001E1BB2" w:rsidRDefault="00676E42" w:rsidP="00676E42">
                  <w:pPr>
                    <w:rPr>
                      <w:rFonts w:ascii="Arial" w:hAnsi="Arial" w:cs="Arial"/>
                      <w:b/>
                      <w:color w:val="0070C0"/>
                      <w:sz w:val="16"/>
                      <w:szCs w:val="16"/>
                      <w:lang w:eastAsia="pl-PL"/>
                    </w:rPr>
                  </w:pPr>
                  <w:r w:rsidRPr="001E1BB2">
                    <w:rPr>
                      <w:rFonts w:ascii="Arial" w:hAnsi="Arial" w:cs="Arial"/>
                      <w:b/>
                      <w:color w:val="000000"/>
                      <w:sz w:val="16"/>
                      <w:szCs w:val="16"/>
                    </w:rPr>
                    <w:t>07-2017</w:t>
                  </w:r>
                </w:p>
              </w:tc>
              <w:tc>
                <w:tcPr>
                  <w:tcW w:w="1012" w:type="pct"/>
                  <w:vAlign w:val="center"/>
                </w:tcPr>
                <w:p w14:paraId="5C10134F" w14:textId="77777777" w:rsidR="00676E42" w:rsidRPr="001E1BB2" w:rsidRDefault="00676E42" w:rsidP="00676E42">
                  <w:pPr>
                    <w:pStyle w:val="Akapitzlist"/>
                    <w:ind w:left="7"/>
                    <w:jc w:val="center"/>
                    <w:rPr>
                      <w:rFonts w:ascii="Arial" w:hAnsi="Arial" w:cs="Arial"/>
                      <w:b/>
                      <w:color w:val="000000"/>
                      <w:sz w:val="16"/>
                      <w:szCs w:val="16"/>
                    </w:rPr>
                  </w:pPr>
                  <w:r w:rsidRPr="001E1BB2">
                    <w:rPr>
                      <w:rFonts w:ascii="Arial" w:hAnsi="Arial" w:cs="Arial"/>
                      <w:b/>
                      <w:color w:val="000000"/>
                      <w:sz w:val="16"/>
                      <w:szCs w:val="16"/>
                    </w:rPr>
                    <w:t>06-2017</w:t>
                  </w:r>
                </w:p>
              </w:tc>
              <w:tc>
                <w:tcPr>
                  <w:tcW w:w="1346" w:type="pct"/>
                  <w:vAlign w:val="center"/>
                </w:tcPr>
                <w:p w14:paraId="6FC1B715"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Stan: osiągnięty</w:t>
                  </w:r>
                  <w:r w:rsidRPr="001E1BB2">
                    <w:rPr>
                      <w:rFonts w:ascii="Arial" w:hAnsi="Arial" w:cs="Arial"/>
                      <w:b/>
                      <w:color w:val="0D0D0D"/>
                      <w:sz w:val="16"/>
                      <w:szCs w:val="16"/>
                    </w:rPr>
                    <w:br/>
                  </w:r>
                </w:p>
              </w:tc>
            </w:tr>
            <w:tr w:rsidR="001E1BB2" w:rsidRPr="001E1BB2" w14:paraId="6163ACA0" w14:textId="77777777" w:rsidTr="001E1BB2">
              <w:tc>
                <w:tcPr>
                  <w:tcW w:w="1166" w:type="pct"/>
                  <w:vAlign w:val="center"/>
                </w:tcPr>
                <w:p w14:paraId="1D778E46" w14:textId="77777777" w:rsidR="00676E42" w:rsidRPr="001E1BB2" w:rsidRDefault="00676E42" w:rsidP="00676E42">
                  <w:pPr>
                    <w:rPr>
                      <w:rFonts w:ascii="Arial" w:hAnsi="Arial" w:cs="Arial"/>
                      <w:b/>
                      <w:color w:val="0070C0"/>
                      <w:sz w:val="16"/>
                      <w:szCs w:val="16"/>
                    </w:rPr>
                  </w:pPr>
                  <w:r w:rsidRPr="001E1BB2">
                    <w:rPr>
                      <w:rFonts w:ascii="Arial" w:hAnsi="Arial" w:cs="Arial"/>
                      <w:b/>
                      <w:color w:val="000000"/>
                      <w:sz w:val="16"/>
                      <w:szCs w:val="16"/>
                    </w:rPr>
                    <w:t>KM - Wprowadzone i zweryfikowane dane,</w:t>
                  </w:r>
                </w:p>
              </w:tc>
              <w:tc>
                <w:tcPr>
                  <w:tcW w:w="720" w:type="pct"/>
                  <w:tcBorders>
                    <w:top w:val="single" w:sz="4" w:space="0" w:color="auto"/>
                    <w:left w:val="single" w:sz="4" w:space="0" w:color="auto"/>
                    <w:bottom w:val="single" w:sz="4" w:space="0" w:color="auto"/>
                    <w:right w:val="single" w:sz="4" w:space="0" w:color="auto"/>
                  </w:tcBorders>
                  <w:shd w:val="clear" w:color="auto" w:fill="auto"/>
                </w:tcPr>
                <w:p w14:paraId="0E99C69C"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2 - 196 390,00 szt.</w:t>
                  </w:r>
                </w:p>
              </w:tc>
              <w:tc>
                <w:tcPr>
                  <w:tcW w:w="757" w:type="pct"/>
                  <w:vAlign w:val="center"/>
                </w:tcPr>
                <w:p w14:paraId="3C650479" w14:textId="77777777" w:rsidR="00676E42" w:rsidRPr="001E1BB2" w:rsidRDefault="00676E42" w:rsidP="00676E42">
                  <w:pPr>
                    <w:rPr>
                      <w:rFonts w:ascii="Arial" w:hAnsi="Arial" w:cs="Arial"/>
                      <w:b/>
                      <w:color w:val="0070C0"/>
                      <w:sz w:val="16"/>
                      <w:szCs w:val="16"/>
                      <w:lang w:eastAsia="pl-PL"/>
                    </w:rPr>
                  </w:pPr>
                  <w:r w:rsidRPr="001E1BB2">
                    <w:rPr>
                      <w:rFonts w:ascii="Arial" w:hAnsi="Arial" w:cs="Arial"/>
                      <w:b/>
                      <w:color w:val="000000"/>
                      <w:sz w:val="16"/>
                      <w:szCs w:val="16"/>
                    </w:rPr>
                    <w:t>07-2019</w:t>
                  </w:r>
                </w:p>
              </w:tc>
              <w:tc>
                <w:tcPr>
                  <w:tcW w:w="1012" w:type="pct"/>
                  <w:vAlign w:val="center"/>
                </w:tcPr>
                <w:p w14:paraId="0A695979" w14:textId="77777777" w:rsidR="00676E42" w:rsidRPr="001E1BB2" w:rsidRDefault="00676E42" w:rsidP="00676E42">
                  <w:pPr>
                    <w:pStyle w:val="Akapitzlist"/>
                    <w:ind w:left="7"/>
                    <w:jc w:val="center"/>
                    <w:rPr>
                      <w:rFonts w:ascii="Arial" w:hAnsi="Arial" w:cs="Arial"/>
                      <w:b/>
                      <w:color w:val="000000"/>
                      <w:sz w:val="16"/>
                      <w:szCs w:val="16"/>
                    </w:rPr>
                  </w:pPr>
                  <w:r w:rsidRPr="001E1BB2">
                    <w:rPr>
                      <w:rFonts w:ascii="Arial" w:hAnsi="Arial" w:cs="Arial"/>
                      <w:b/>
                      <w:color w:val="000000"/>
                      <w:sz w:val="16"/>
                      <w:szCs w:val="16"/>
                    </w:rPr>
                    <w:t>07-2019</w:t>
                  </w:r>
                </w:p>
              </w:tc>
              <w:tc>
                <w:tcPr>
                  <w:tcW w:w="1346" w:type="pct"/>
                  <w:vAlign w:val="center"/>
                </w:tcPr>
                <w:p w14:paraId="069A1D53" w14:textId="77777777" w:rsidR="00676E42" w:rsidRPr="001E1BB2" w:rsidRDefault="00676E42" w:rsidP="00676E42">
                  <w:pPr>
                    <w:rPr>
                      <w:rFonts w:ascii="Arial" w:hAnsi="Arial" w:cs="Arial"/>
                      <w:b/>
                      <w:color w:val="0D0D0D"/>
                      <w:sz w:val="16"/>
                      <w:szCs w:val="16"/>
                    </w:rPr>
                  </w:pPr>
                  <w:r w:rsidRPr="001E1BB2">
                    <w:rPr>
                      <w:rFonts w:ascii="Arial" w:hAnsi="Arial" w:cs="Arial"/>
                      <w:b/>
                      <w:color w:val="0D0D0D"/>
                      <w:sz w:val="16"/>
                      <w:szCs w:val="16"/>
                    </w:rPr>
                    <w:t>Stan: osiągnięty</w:t>
                  </w:r>
                </w:p>
              </w:tc>
            </w:tr>
            <w:tr w:rsidR="001E1BB2" w:rsidRPr="001E1BB2" w14:paraId="267993D7" w14:textId="77777777" w:rsidTr="001E1BB2">
              <w:tc>
                <w:tcPr>
                  <w:tcW w:w="1166" w:type="pct"/>
                  <w:vAlign w:val="center"/>
                </w:tcPr>
                <w:p w14:paraId="47E26E29" w14:textId="77777777" w:rsidR="00676E42" w:rsidRPr="001E1BB2" w:rsidRDefault="00676E42" w:rsidP="00676E42">
                  <w:pPr>
                    <w:rPr>
                      <w:rFonts w:ascii="Arial" w:hAnsi="Arial" w:cs="Arial"/>
                      <w:b/>
                      <w:color w:val="0070C0"/>
                      <w:sz w:val="16"/>
                      <w:szCs w:val="16"/>
                    </w:rPr>
                  </w:pPr>
                  <w:r w:rsidRPr="001E1BB2">
                    <w:rPr>
                      <w:rFonts w:ascii="Arial" w:hAnsi="Arial" w:cs="Arial"/>
                      <w:b/>
                      <w:color w:val="000000"/>
                      <w:sz w:val="16"/>
                      <w:szCs w:val="16"/>
                    </w:rPr>
                    <w:t xml:space="preserve">KM - Zasoby </w:t>
                  </w:r>
                  <w:proofErr w:type="spellStart"/>
                  <w:r w:rsidRPr="001E1BB2">
                    <w:rPr>
                      <w:rFonts w:ascii="Arial" w:hAnsi="Arial" w:cs="Arial"/>
                      <w:b/>
                      <w:color w:val="000000"/>
                      <w:sz w:val="16"/>
                      <w:szCs w:val="16"/>
                    </w:rPr>
                    <w:t>zdigitalizowane</w:t>
                  </w:r>
                  <w:proofErr w:type="spellEnd"/>
                  <w:r w:rsidRPr="001E1BB2">
                    <w:rPr>
                      <w:rFonts w:ascii="Arial" w:hAnsi="Arial" w:cs="Arial"/>
                      <w:b/>
                      <w:color w:val="000000"/>
                      <w:sz w:val="16"/>
                      <w:szCs w:val="16"/>
                    </w:rPr>
                    <w:t>,</w:t>
                  </w:r>
                </w:p>
              </w:tc>
              <w:tc>
                <w:tcPr>
                  <w:tcW w:w="720" w:type="pct"/>
                  <w:tcBorders>
                    <w:top w:val="single" w:sz="4" w:space="0" w:color="auto"/>
                    <w:left w:val="single" w:sz="4" w:space="0" w:color="auto"/>
                    <w:bottom w:val="single" w:sz="4" w:space="0" w:color="auto"/>
                    <w:right w:val="single" w:sz="4" w:space="0" w:color="auto"/>
                  </w:tcBorders>
                  <w:shd w:val="clear" w:color="auto" w:fill="auto"/>
                </w:tcPr>
                <w:p w14:paraId="54A8F448"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2 - 196 390,00 szt.</w:t>
                  </w:r>
                </w:p>
              </w:tc>
              <w:tc>
                <w:tcPr>
                  <w:tcW w:w="757" w:type="pct"/>
                  <w:vAlign w:val="center"/>
                </w:tcPr>
                <w:p w14:paraId="70B062BE" w14:textId="77777777" w:rsidR="00676E42" w:rsidRPr="001E1BB2" w:rsidRDefault="00676E42" w:rsidP="00676E42">
                  <w:pPr>
                    <w:rPr>
                      <w:rFonts w:ascii="Arial" w:hAnsi="Arial" w:cs="Arial"/>
                      <w:b/>
                      <w:color w:val="0070C0"/>
                      <w:sz w:val="16"/>
                      <w:szCs w:val="16"/>
                      <w:lang w:eastAsia="pl-PL"/>
                    </w:rPr>
                  </w:pPr>
                  <w:r w:rsidRPr="001E1BB2">
                    <w:rPr>
                      <w:rFonts w:ascii="Arial" w:hAnsi="Arial" w:cs="Arial"/>
                      <w:b/>
                      <w:color w:val="000000"/>
                      <w:sz w:val="16"/>
                      <w:szCs w:val="16"/>
                    </w:rPr>
                    <w:t>01-2019</w:t>
                  </w:r>
                </w:p>
              </w:tc>
              <w:tc>
                <w:tcPr>
                  <w:tcW w:w="1012" w:type="pct"/>
                  <w:vAlign w:val="center"/>
                </w:tcPr>
                <w:p w14:paraId="39C90524" w14:textId="77777777" w:rsidR="00676E42" w:rsidRPr="001E1BB2" w:rsidRDefault="00676E42" w:rsidP="00676E42">
                  <w:pPr>
                    <w:pStyle w:val="Akapitzlist"/>
                    <w:ind w:left="7"/>
                    <w:jc w:val="center"/>
                    <w:rPr>
                      <w:rFonts w:ascii="Arial" w:hAnsi="Arial" w:cs="Arial"/>
                      <w:b/>
                      <w:color w:val="000000"/>
                      <w:sz w:val="16"/>
                      <w:szCs w:val="16"/>
                    </w:rPr>
                  </w:pPr>
                  <w:r w:rsidRPr="001E1BB2">
                    <w:rPr>
                      <w:rFonts w:ascii="Arial" w:hAnsi="Arial" w:cs="Arial"/>
                      <w:b/>
                      <w:color w:val="000000"/>
                      <w:sz w:val="16"/>
                      <w:szCs w:val="16"/>
                    </w:rPr>
                    <w:t>07-2019</w:t>
                  </w:r>
                </w:p>
              </w:tc>
              <w:tc>
                <w:tcPr>
                  <w:tcW w:w="1346" w:type="pct"/>
                  <w:vAlign w:val="center"/>
                </w:tcPr>
                <w:p w14:paraId="6FD70221" w14:textId="77777777" w:rsidR="00676E42" w:rsidRPr="001E1BB2" w:rsidRDefault="00676E42" w:rsidP="00EA4A47">
                  <w:pPr>
                    <w:rPr>
                      <w:rFonts w:ascii="Arial" w:eastAsia="Times New Roman" w:hAnsi="Arial" w:cs="Arial"/>
                      <w:b/>
                      <w:color w:val="000000"/>
                      <w:sz w:val="16"/>
                      <w:szCs w:val="16"/>
                      <w:lang w:eastAsia="pl-PL"/>
                    </w:rPr>
                  </w:pPr>
                  <w:r w:rsidRPr="001E1BB2">
                    <w:rPr>
                      <w:rFonts w:ascii="Arial" w:hAnsi="Arial" w:cs="Arial"/>
                      <w:b/>
                      <w:color w:val="0D0D0D"/>
                      <w:sz w:val="16"/>
                      <w:szCs w:val="16"/>
                    </w:rPr>
                    <w:t xml:space="preserve">Stan: osiągnięty - </w:t>
                  </w:r>
                  <w:r w:rsidRPr="001E1BB2">
                    <w:rPr>
                      <w:rFonts w:ascii="Arial" w:eastAsia="Times New Roman" w:hAnsi="Arial" w:cs="Arial"/>
                      <w:b/>
                      <w:color w:val="000000"/>
                      <w:sz w:val="16"/>
                      <w:szCs w:val="16"/>
                      <w:lang w:eastAsia="pl-PL"/>
                    </w:rPr>
                    <w:t xml:space="preserve">Z uwagi na fakt, iż po zabezpieczeniu wymaganej wskaźnikiem liczby </w:t>
                  </w:r>
                  <w:proofErr w:type="spellStart"/>
                  <w:r w:rsidRPr="001E1BB2">
                    <w:rPr>
                      <w:rFonts w:ascii="Arial" w:eastAsia="Times New Roman" w:hAnsi="Arial" w:cs="Arial"/>
                      <w:b/>
                      <w:color w:val="000000"/>
                      <w:sz w:val="16"/>
                      <w:szCs w:val="16"/>
                      <w:lang w:eastAsia="pl-PL"/>
                    </w:rPr>
                    <w:t>zdigitalizowaych</w:t>
                  </w:r>
                  <w:proofErr w:type="spellEnd"/>
                  <w:r w:rsidRPr="001E1BB2">
                    <w:rPr>
                      <w:rFonts w:ascii="Arial" w:eastAsia="Times New Roman" w:hAnsi="Arial" w:cs="Arial"/>
                      <w:b/>
                      <w:color w:val="000000"/>
                      <w:sz w:val="16"/>
                      <w:szCs w:val="16"/>
                      <w:lang w:eastAsia="pl-PL"/>
                    </w:rPr>
                    <w:t xml:space="preserve"> zasobów pozostały oszczędności dane </w:t>
                  </w:r>
                  <w:r w:rsidR="00EA4A47">
                    <w:rPr>
                      <w:rFonts w:ascii="Arial" w:eastAsia="Times New Roman" w:hAnsi="Arial" w:cs="Arial"/>
                      <w:b/>
                      <w:color w:val="000000"/>
                      <w:sz w:val="16"/>
                      <w:szCs w:val="16"/>
                      <w:lang w:eastAsia="pl-PL"/>
                    </w:rPr>
                    <w:t>były</w:t>
                  </w:r>
                  <w:r w:rsidRPr="001E1BB2">
                    <w:rPr>
                      <w:rFonts w:ascii="Arial" w:eastAsia="Times New Roman" w:hAnsi="Arial" w:cs="Arial"/>
                      <w:b/>
                      <w:color w:val="000000"/>
                      <w:sz w:val="16"/>
                      <w:szCs w:val="16"/>
                      <w:lang w:eastAsia="pl-PL"/>
                    </w:rPr>
                    <w:t xml:space="preserve"> </w:t>
                  </w:r>
                  <w:proofErr w:type="spellStart"/>
                  <w:r w:rsidRPr="001E1BB2">
                    <w:rPr>
                      <w:rFonts w:ascii="Arial" w:eastAsia="Times New Roman" w:hAnsi="Arial" w:cs="Arial"/>
                      <w:b/>
                      <w:color w:val="000000"/>
                      <w:sz w:val="16"/>
                      <w:szCs w:val="16"/>
                      <w:lang w:eastAsia="pl-PL"/>
                    </w:rPr>
                    <w:t>digitalizowane</w:t>
                  </w:r>
                  <w:proofErr w:type="spellEnd"/>
                  <w:r w:rsidRPr="001E1BB2">
                    <w:rPr>
                      <w:rFonts w:ascii="Arial" w:eastAsia="Times New Roman" w:hAnsi="Arial" w:cs="Arial"/>
                      <w:b/>
                      <w:color w:val="000000"/>
                      <w:sz w:val="16"/>
                      <w:szCs w:val="16"/>
                      <w:lang w:eastAsia="pl-PL"/>
                    </w:rPr>
                    <w:t xml:space="preserve"> w dalszym ciągu, a planowana data faktycznego zakończenia </w:t>
                  </w:r>
                  <w:r w:rsidRPr="001E1BB2">
                    <w:rPr>
                      <w:rFonts w:ascii="Arial" w:eastAsia="Times New Roman" w:hAnsi="Arial" w:cs="Arial"/>
                      <w:b/>
                      <w:color w:val="000000"/>
                      <w:sz w:val="16"/>
                      <w:szCs w:val="16"/>
                      <w:lang w:eastAsia="pl-PL"/>
                    </w:rPr>
                    <w:lastRenderedPageBreak/>
                    <w:t>realizacji kamienia milowego przypad</w:t>
                  </w:r>
                  <w:r w:rsidR="00EA4A47">
                    <w:rPr>
                      <w:rFonts w:ascii="Arial" w:eastAsia="Times New Roman" w:hAnsi="Arial" w:cs="Arial"/>
                      <w:b/>
                      <w:color w:val="000000"/>
                      <w:sz w:val="16"/>
                      <w:szCs w:val="16"/>
                      <w:lang w:eastAsia="pl-PL"/>
                    </w:rPr>
                    <w:t>ła</w:t>
                  </w:r>
                  <w:r w:rsidRPr="001E1BB2">
                    <w:rPr>
                      <w:rFonts w:ascii="Arial" w:eastAsia="Times New Roman" w:hAnsi="Arial" w:cs="Arial"/>
                      <w:b/>
                      <w:color w:val="000000"/>
                      <w:sz w:val="16"/>
                      <w:szCs w:val="16"/>
                      <w:lang w:eastAsia="pl-PL"/>
                    </w:rPr>
                    <w:t xml:space="preserve"> na 29.07.2019 r. Takie działanie pozwoli</w:t>
                  </w:r>
                  <w:r w:rsidR="00EA4A47">
                    <w:rPr>
                      <w:rFonts w:ascii="Arial" w:eastAsia="Times New Roman" w:hAnsi="Arial" w:cs="Arial"/>
                      <w:b/>
                      <w:color w:val="000000"/>
                      <w:sz w:val="16"/>
                      <w:szCs w:val="16"/>
                      <w:lang w:eastAsia="pl-PL"/>
                    </w:rPr>
                    <w:t>ło</w:t>
                  </w:r>
                  <w:r w:rsidRPr="001E1BB2">
                    <w:rPr>
                      <w:rFonts w:ascii="Arial" w:eastAsia="Times New Roman" w:hAnsi="Arial" w:cs="Arial"/>
                      <w:b/>
                      <w:color w:val="000000"/>
                      <w:sz w:val="16"/>
                      <w:szCs w:val="16"/>
                      <w:lang w:eastAsia="pl-PL"/>
                    </w:rPr>
                    <w:t xml:space="preserve"> w sposób znaczny zwiększyć zakładaną liczbę </w:t>
                  </w:r>
                  <w:proofErr w:type="spellStart"/>
                  <w:r w:rsidRPr="001E1BB2">
                    <w:rPr>
                      <w:rFonts w:ascii="Arial" w:eastAsia="Times New Roman" w:hAnsi="Arial" w:cs="Arial"/>
                      <w:b/>
                      <w:color w:val="000000"/>
                      <w:sz w:val="16"/>
                      <w:szCs w:val="16"/>
                      <w:lang w:eastAsia="pl-PL"/>
                    </w:rPr>
                    <w:t>zdigitalizo</w:t>
                  </w:r>
                  <w:r w:rsidR="00EA4A47">
                    <w:rPr>
                      <w:rFonts w:ascii="Arial" w:eastAsia="Times New Roman" w:hAnsi="Arial" w:cs="Arial"/>
                      <w:b/>
                      <w:color w:val="000000"/>
                      <w:sz w:val="16"/>
                      <w:szCs w:val="16"/>
                      <w:lang w:eastAsia="pl-PL"/>
                    </w:rPr>
                    <w:t>wanych</w:t>
                  </w:r>
                  <w:proofErr w:type="spellEnd"/>
                  <w:r w:rsidR="00EA4A47">
                    <w:rPr>
                      <w:rFonts w:ascii="Arial" w:eastAsia="Times New Roman" w:hAnsi="Arial" w:cs="Arial"/>
                      <w:b/>
                      <w:color w:val="000000"/>
                      <w:sz w:val="16"/>
                      <w:szCs w:val="16"/>
                      <w:lang w:eastAsia="pl-PL"/>
                    </w:rPr>
                    <w:t xml:space="preserve"> zasobów, która na dzień 31</w:t>
                  </w:r>
                  <w:r w:rsidRPr="001E1BB2">
                    <w:rPr>
                      <w:rFonts w:ascii="Arial" w:eastAsia="Times New Roman" w:hAnsi="Arial" w:cs="Arial"/>
                      <w:b/>
                      <w:color w:val="000000"/>
                      <w:sz w:val="16"/>
                      <w:szCs w:val="16"/>
                      <w:lang w:eastAsia="pl-PL"/>
                    </w:rPr>
                    <w:t>.07.2019 r. wyn</w:t>
                  </w:r>
                  <w:r w:rsidR="00EA4A47">
                    <w:rPr>
                      <w:rFonts w:ascii="Arial" w:eastAsia="Times New Roman" w:hAnsi="Arial" w:cs="Arial"/>
                      <w:b/>
                      <w:color w:val="000000"/>
                      <w:sz w:val="16"/>
                      <w:szCs w:val="16"/>
                      <w:lang w:eastAsia="pl-PL"/>
                    </w:rPr>
                    <w:t>iosła</w:t>
                  </w:r>
                  <w:r w:rsidRPr="001E1BB2">
                    <w:rPr>
                      <w:rFonts w:ascii="Arial" w:eastAsia="Times New Roman" w:hAnsi="Arial" w:cs="Arial"/>
                      <w:b/>
                      <w:color w:val="000000"/>
                      <w:sz w:val="16"/>
                      <w:szCs w:val="16"/>
                      <w:lang w:eastAsia="pl-PL"/>
                    </w:rPr>
                    <w:t xml:space="preserve"> 305.394 a więc jest większa od zakładanej o 109.004. Zwiększenie </w:t>
                  </w:r>
                  <w:proofErr w:type="spellStart"/>
                  <w:r w:rsidRPr="001E1BB2">
                    <w:rPr>
                      <w:rFonts w:ascii="Arial" w:eastAsia="Times New Roman" w:hAnsi="Arial" w:cs="Arial"/>
                      <w:b/>
                      <w:color w:val="000000"/>
                      <w:sz w:val="16"/>
                      <w:szCs w:val="16"/>
                      <w:lang w:eastAsia="pl-PL"/>
                    </w:rPr>
                    <w:t>zdigitalizowanych</w:t>
                  </w:r>
                  <w:proofErr w:type="spellEnd"/>
                  <w:r w:rsidRPr="001E1BB2">
                    <w:rPr>
                      <w:rFonts w:ascii="Arial" w:eastAsia="Times New Roman" w:hAnsi="Arial" w:cs="Arial"/>
                      <w:b/>
                      <w:color w:val="000000"/>
                      <w:sz w:val="16"/>
                      <w:szCs w:val="16"/>
                      <w:lang w:eastAsia="pl-PL"/>
                    </w:rPr>
                    <w:t xml:space="preserve"> obiektów było możliwe dzięki uzyskanym oszczędnościom w przeprowadzonych postępowaniach o udzielenie zamówienia publicznego. W trakcie szacowania wartości zamówienia uzyskano kwoty znacznie wyższe niż w postępowaniach, stąd szacowanie wskaźnika odbyło się na podstawie uzyskanych danych z rynku. </w:t>
                  </w:r>
                </w:p>
              </w:tc>
            </w:tr>
            <w:tr w:rsidR="001E1BB2" w:rsidRPr="001E1BB2" w14:paraId="1A863CA6" w14:textId="77777777" w:rsidTr="001E1BB2">
              <w:tc>
                <w:tcPr>
                  <w:tcW w:w="1166" w:type="pct"/>
                  <w:vAlign w:val="center"/>
                </w:tcPr>
                <w:p w14:paraId="21296FA8" w14:textId="77777777" w:rsidR="00676E42" w:rsidRPr="001E1BB2" w:rsidRDefault="00676E42" w:rsidP="00676E42">
                  <w:pPr>
                    <w:rPr>
                      <w:rFonts w:ascii="Arial" w:hAnsi="Arial" w:cs="Arial"/>
                      <w:b/>
                      <w:color w:val="000000"/>
                      <w:sz w:val="16"/>
                      <w:szCs w:val="16"/>
                    </w:rPr>
                  </w:pPr>
                  <w:r w:rsidRPr="001E1BB2">
                    <w:rPr>
                      <w:rFonts w:ascii="Arial" w:hAnsi="Arial" w:cs="Arial"/>
                      <w:b/>
                      <w:color w:val="000000"/>
                      <w:sz w:val="16"/>
                      <w:szCs w:val="16"/>
                    </w:rPr>
                    <w:lastRenderedPageBreak/>
                    <w:t>KM - produkt zaimplementowany i przetestowany</w:t>
                  </w:r>
                </w:p>
              </w:tc>
              <w:tc>
                <w:tcPr>
                  <w:tcW w:w="720" w:type="pct"/>
                  <w:tcBorders>
                    <w:top w:val="single" w:sz="4" w:space="0" w:color="auto"/>
                    <w:left w:val="single" w:sz="4" w:space="0" w:color="auto"/>
                    <w:bottom w:val="single" w:sz="4" w:space="0" w:color="auto"/>
                    <w:right w:val="single" w:sz="4" w:space="0" w:color="auto"/>
                  </w:tcBorders>
                  <w:shd w:val="clear" w:color="auto" w:fill="auto"/>
                </w:tcPr>
                <w:p w14:paraId="4DAD3D9F"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2 - 196 390,00 szt.</w:t>
                  </w:r>
                </w:p>
              </w:tc>
              <w:tc>
                <w:tcPr>
                  <w:tcW w:w="757" w:type="pct"/>
                  <w:vAlign w:val="center"/>
                </w:tcPr>
                <w:p w14:paraId="0A21E271" w14:textId="77777777" w:rsidR="00676E42" w:rsidRPr="001E1BB2" w:rsidRDefault="00676E42" w:rsidP="00676E42">
                  <w:pPr>
                    <w:rPr>
                      <w:rFonts w:ascii="Arial" w:hAnsi="Arial" w:cs="Arial"/>
                      <w:b/>
                      <w:color w:val="0070C0"/>
                      <w:sz w:val="16"/>
                      <w:szCs w:val="16"/>
                      <w:lang w:eastAsia="pl-PL"/>
                    </w:rPr>
                  </w:pPr>
                  <w:r w:rsidRPr="001E1BB2">
                    <w:rPr>
                      <w:rFonts w:ascii="Arial" w:hAnsi="Arial" w:cs="Arial"/>
                      <w:b/>
                      <w:color w:val="000000"/>
                      <w:sz w:val="16"/>
                      <w:szCs w:val="16"/>
                    </w:rPr>
                    <w:t>07-2019</w:t>
                  </w:r>
                </w:p>
              </w:tc>
              <w:tc>
                <w:tcPr>
                  <w:tcW w:w="1012" w:type="pct"/>
                  <w:vAlign w:val="center"/>
                </w:tcPr>
                <w:p w14:paraId="50F8CF2F" w14:textId="77777777" w:rsidR="00676E42" w:rsidRPr="001E1BB2" w:rsidRDefault="00676E42" w:rsidP="00676E42">
                  <w:pPr>
                    <w:pStyle w:val="Akapitzlist"/>
                    <w:ind w:left="7"/>
                    <w:jc w:val="center"/>
                    <w:rPr>
                      <w:rFonts w:ascii="Arial" w:hAnsi="Arial" w:cs="Arial"/>
                      <w:b/>
                      <w:color w:val="000000"/>
                      <w:sz w:val="16"/>
                      <w:szCs w:val="16"/>
                    </w:rPr>
                  </w:pPr>
                  <w:r w:rsidRPr="001E1BB2">
                    <w:rPr>
                      <w:rFonts w:ascii="Arial" w:hAnsi="Arial" w:cs="Arial"/>
                      <w:b/>
                      <w:color w:val="000000"/>
                      <w:sz w:val="16"/>
                      <w:szCs w:val="16"/>
                    </w:rPr>
                    <w:t>07-2019</w:t>
                  </w:r>
                </w:p>
              </w:tc>
              <w:tc>
                <w:tcPr>
                  <w:tcW w:w="1346" w:type="pct"/>
                  <w:vAlign w:val="center"/>
                </w:tcPr>
                <w:p w14:paraId="74311883"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Stan: osiągnięty</w:t>
                  </w:r>
                </w:p>
              </w:tc>
            </w:tr>
            <w:tr w:rsidR="001E1BB2" w:rsidRPr="001E1BB2" w14:paraId="60A246DF" w14:textId="77777777" w:rsidTr="001E1BB2">
              <w:tc>
                <w:tcPr>
                  <w:tcW w:w="1166" w:type="pct"/>
                  <w:vAlign w:val="center"/>
                </w:tcPr>
                <w:p w14:paraId="2AD164E1" w14:textId="77777777" w:rsidR="00676E42" w:rsidRPr="001E1BB2" w:rsidRDefault="00676E42" w:rsidP="00676E42">
                  <w:pPr>
                    <w:rPr>
                      <w:rFonts w:ascii="Arial" w:hAnsi="Arial" w:cs="Arial"/>
                      <w:b/>
                      <w:color w:val="000000"/>
                      <w:sz w:val="16"/>
                      <w:szCs w:val="16"/>
                    </w:rPr>
                  </w:pPr>
                  <w:r w:rsidRPr="001E1BB2">
                    <w:rPr>
                      <w:rFonts w:ascii="Arial" w:hAnsi="Arial" w:cs="Arial"/>
                      <w:b/>
                      <w:color w:val="000000"/>
                      <w:sz w:val="16"/>
                      <w:szCs w:val="16"/>
                    </w:rPr>
                    <w:t>KM - produkt zaimplementowany i przetestowany,</w:t>
                  </w:r>
                </w:p>
              </w:tc>
              <w:tc>
                <w:tcPr>
                  <w:tcW w:w="720" w:type="pct"/>
                  <w:tcBorders>
                    <w:top w:val="single" w:sz="4" w:space="0" w:color="auto"/>
                    <w:left w:val="single" w:sz="4" w:space="0" w:color="auto"/>
                    <w:bottom w:val="single" w:sz="4" w:space="0" w:color="auto"/>
                    <w:right w:val="single" w:sz="4" w:space="0" w:color="auto"/>
                  </w:tcBorders>
                  <w:shd w:val="clear" w:color="auto" w:fill="auto"/>
                </w:tcPr>
                <w:p w14:paraId="3E17C489"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2 - 196 390,00 szt.</w:t>
                  </w:r>
                </w:p>
              </w:tc>
              <w:tc>
                <w:tcPr>
                  <w:tcW w:w="757" w:type="pct"/>
                  <w:vAlign w:val="center"/>
                </w:tcPr>
                <w:p w14:paraId="30DB8979" w14:textId="77777777" w:rsidR="00676E42" w:rsidRPr="001E1BB2" w:rsidRDefault="00676E42" w:rsidP="00676E42">
                  <w:pPr>
                    <w:rPr>
                      <w:rFonts w:ascii="Arial" w:hAnsi="Arial" w:cs="Arial"/>
                      <w:b/>
                      <w:color w:val="0070C0"/>
                      <w:sz w:val="16"/>
                      <w:szCs w:val="16"/>
                      <w:lang w:eastAsia="pl-PL"/>
                    </w:rPr>
                  </w:pPr>
                  <w:r w:rsidRPr="001E1BB2">
                    <w:rPr>
                      <w:rFonts w:ascii="Arial" w:hAnsi="Arial" w:cs="Arial"/>
                      <w:b/>
                      <w:color w:val="000000"/>
                      <w:sz w:val="16"/>
                      <w:szCs w:val="16"/>
                    </w:rPr>
                    <w:t>07-2019</w:t>
                  </w:r>
                </w:p>
              </w:tc>
              <w:tc>
                <w:tcPr>
                  <w:tcW w:w="1012" w:type="pct"/>
                  <w:vAlign w:val="center"/>
                </w:tcPr>
                <w:p w14:paraId="7135A84B" w14:textId="77777777" w:rsidR="00676E42" w:rsidRPr="001E1BB2" w:rsidRDefault="00676E42" w:rsidP="00676E42">
                  <w:pPr>
                    <w:pStyle w:val="Akapitzlist"/>
                    <w:ind w:left="7"/>
                    <w:jc w:val="center"/>
                    <w:rPr>
                      <w:rFonts w:ascii="Arial" w:hAnsi="Arial" w:cs="Arial"/>
                      <w:b/>
                      <w:color w:val="000000"/>
                      <w:sz w:val="16"/>
                      <w:szCs w:val="16"/>
                    </w:rPr>
                  </w:pPr>
                  <w:r w:rsidRPr="001E1BB2">
                    <w:rPr>
                      <w:rFonts w:ascii="Arial" w:hAnsi="Arial" w:cs="Arial"/>
                      <w:b/>
                      <w:color w:val="000000"/>
                      <w:sz w:val="16"/>
                      <w:szCs w:val="16"/>
                    </w:rPr>
                    <w:t>07-2019</w:t>
                  </w:r>
                </w:p>
              </w:tc>
              <w:tc>
                <w:tcPr>
                  <w:tcW w:w="1346" w:type="pct"/>
                  <w:vAlign w:val="center"/>
                </w:tcPr>
                <w:p w14:paraId="32862E12"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Stan: osiągnięty</w:t>
                  </w:r>
                </w:p>
              </w:tc>
            </w:tr>
            <w:tr w:rsidR="001E1BB2" w:rsidRPr="001E1BB2" w14:paraId="12DC5D23" w14:textId="77777777" w:rsidTr="001E1BB2">
              <w:tc>
                <w:tcPr>
                  <w:tcW w:w="1166" w:type="pct"/>
                  <w:vAlign w:val="center"/>
                </w:tcPr>
                <w:p w14:paraId="4C85CD26" w14:textId="77777777" w:rsidR="00676E42" w:rsidRPr="001E1BB2" w:rsidRDefault="00676E42" w:rsidP="00676E42">
                  <w:pPr>
                    <w:rPr>
                      <w:rFonts w:ascii="Arial" w:hAnsi="Arial" w:cs="Arial"/>
                      <w:b/>
                      <w:color w:val="000000"/>
                      <w:sz w:val="16"/>
                      <w:szCs w:val="16"/>
                    </w:rPr>
                  </w:pPr>
                  <w:r w:rsidRPr="001E1BB2">
                    <w:rPr>
                      <w:rFonts w:ascii="Arial" w:hAnsi="Arial" w:cs="Arial"/>
                      <w:b/>
                      <w:color w:val="000000"/>
                      <w:sz w:val="16"/>
                      <w:szCs w:val="16"/>
                    </w:rPr>
                    <w:t>KM - produkt zaimplementowany i przetestowany,</w:t>
                  </w:r>
                </w:p>
              </w:tc>
              <w:tc>
                <w:tcPr>
                  <w:tcW w:w="720" w:type="pct"/>
                  <w:tcBorders>
                    <w:top w:val="single" w:sz="4" w:space="0" w:color="auto"/>
                    <w:left w:val="single" w:sz="4" w:space="0" w:color="auto"/>
                    <w:bottom w:val="single" w:sz="4" w:space="0" w:color="auto"/>
                    <w:right w:val="single" w:sz="4" w:space="0" w:color="auto"/>
                  </w:tcBorders>
                  <w:shd w:val="clear" w:color="auto" w:fill="auto"/>
                </w:tcPr>
                <w:p w14:paraId="441C1979"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2 - 196 390,00 szt.</w:t>
                  </w:r>
                </w:p>
              </w:tc>
              <w:tc>
                <w:tcPr>
                  <w:tcW w:w="757" w:type="pct"/>
                  <w:vAlign w:val="center"/>
                </w:tcPr>
                <w:p w14:paraId="050A1BAA" w14:textId="77777777" w:rsidR="00676E42" w:rsidRPr="001E1BB2" w:rsidRDefault="00676E42" w:rsidP="00676E42">
                  <w:pPr>
                    <w:rPr>
                      <w:rFonts w:ascii="Arial" w:hAnsi="Arial" w:cs="Arial"/>
                      <w:b/>
                      <w:color w:val="0070C0"/>
                      <w:sz w:val="16"/>
                      <w:szCs w:val="16"/>
                      <w:lang w:eastAsia="pl-PL"/>
                    </w:rPr>
                  </w:pPr>
                  <w:r w:rsidRPr="001E1BB2">
                    <w:rPr>
                      <w:rFonts w:ascii="Arial" w:hAnsi="Arial" w:cs="Arial"/>
                      <w:b/>
                      <w:color w:val="000000"/>
                      <w:sz w:val="16"/>
                      <w:szCs w:val="16"/>
                    </w:rPr>
                    <w:t>07-2019</w:t>
                  </w:r>
                </w:p>
              </w:tc>
              <w:tc>
                <w:tcPr>
                  <w:tcW w:w="1012" w:type="pct"/>
                  <w:vAlign w:val="center"/>
                </w:tcPr>
                <w:p w14:paraId="6FD40107" w14:textId="77777777" w:rsidR="00676E42" w:rsidRPr="001E1BB2" w:rsidRDefault="00676E42" w:rsidP="00676E42">
                  <w:pPr>
                    <w:pStyle w:val="Akapitzlist"/>
                    <w:ind w:left="7"/>
                    <w:jc w:val="center"/>
                    <w:rPr>
                      <w:rFonts w:ascii="Arial" w:hAnsi="Arial" w:cs="Arial"/>
                      <w:b/>
                      <w:color w:val="000000"/>
                      <w:sz w:val="16"/>
                      <w:szCs w:val="16"/>
                    </w:rPr>
                  </w:pPr>
                  <w:r w:rsidRPr="001E1BB2">
                    <w:rPr>
                      <w:rFonts w:ascii="Arial" w:hAnsi="Arial" w:cs="Arial"/>
                      <w:b/>
                      <w:color w:val="000000"/>
                      <w:sz w:val="16"/>
                      <w:szCs w:val="16"/>
                    </w:rPr>
                    <w:t>07-2019</w:t>
                  </w:r>
                </w:p>
              </w:tc>
              <w:tc>
                <w:tcPr>
                  <w:tcW w:w="1346" w:type="pct"/>
                  <w:vAlign w:val="center"/>
                </w:tcPr>
                <w:p w14:paraId="33385331"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Stan: osiągnięty</w:t>
                  </w:r>
                </w:p>
              </w:tc>
            </w:tr>
            <w:tr w:rsidR="001E1BB2" w:rsidRPr="001E1BB2" w14:paraId="2325C5BF" w14:textId="77777777" w:rsidTr="001E1BB2">
              <w:tc>
                <w:tcPr>
                  <w:tcW w:w="1166" w:type="pct"/>
                  <w:vAlign w:val="center"/>
                </w:tcPr>
                <w:p w14:paraId="2AEDD57E" w14:textId="77777777" w:rsidR="00676E42" w:rsidRPr="001E1BB2" w:rsidRDefault="00676E42" w:rsidP="00676E42">
                  <w:pPr>
                    <w:rPr>
                      <w:rFonts w:ascii="Arial" w:hAnsi="Arial" w:cs="Arial"/>
                      <w:b/>
                      <w:color w:val="000000"/>
                      <w:sz w:val="16"/>
                      <w:szCs w:val="16"/>
                    </w:rPr>
                  </w:pPr>
                  <w:r w:rsidRPr="001E1BB2">
                    <w:rPr>
                      <w:rFonts w:ascii="Arial" w:hAnsi="Arial" w:cs="Arial"/>
                      <w:b/>
                      <w:color w:val="000000"/>
                      <w:sz w:val="16"/>
                      <w:szCs w:val="16"/>
                    </w:rPr>
                    <w:t>KM - Opracowany i zatwierdzony standard gromadzenia danych,</w:t>
                  </w:r>
                </w:p>
              </w:tc>
              <w:tc>
                <w:tcPr>
                  <w:tcW w:w="720" w:type="pct"/>
                  <w:tcBorders>
                    <w:top w:val="single" w:sz="4" w:space="0" w:color="auto"/>
                    <w:left w:val="single" w:sz="4" w:space="0" w:color="auto"/>
                    <w:bottom w:val="single" w:sz="4" w:space="0" w:color="auto"/>
                    <w:right w:val="single" w:sz="4" w:space="0" w:color="auto"/>
                  </w:tcBorders>
                  <w:shd w:val="clear" w:color="auto" w:fill="auto"/>
                </w:tcPr>
                <w:p w14:paraId="01240B15"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2 - 196 390,00 szt.</w:t>
                  </w:r>
                </w:p>
              </w:tc>
              <w:tc>
                <w:tcPr>
                  <w:tcW w:w="757" w:type="pct"/>
                  <w:vAlign w:val="center"/>
                </w:tcPr>
                <w:p w14:paraId="5EC9E2F8" w14:textId="77777777" w:rsidR="00676E42" w:rsidRPr="001E1BB2" w:rsidRDefault="00676E42" w:rsidP="00676E42">
                  <w:pPr>
                    <w:rPr>
                      <w:rFonts w:ascii="Arial" w:hAnsi="Arial" w:cs="Arial"/>
                      <w:b/>
                      <w:color w:val="0070C0"/>
                      <w:sz w:val="16"/>
                      <w:szCs w:val="16"/>
                      <w:lang w:eastAsia="pl-PL"/>
                    </w:rPr>
                  </w:pPr>
                  <w:r w:rsidRPr="001E1BB2">
                    <w:rPr>
                      <w:rFonts w:ascii="Arial" w:hAnsi="Arial" w:cs="Arial"/>
                      <w:b/>
                      <w:color w:val="000000"/>
                      <w:sz w:val="16"/>
                      <w:szCs w:val="16"/>
                    </w:rPr>
                    <w:t>10-2016</w:t>
                  </w:r>
                </w:p>
              </w:tc>
              <w:tc>
                <w:tcPr>
                  <w:tcW w:w="1012" w:type="pct"/>
                  <w:vAlign w:val="center"/>
                </w:tcPr>
                <w:p w14:paraId="021522BC" w14:textId="77777777" w:rsidR="00676E42" w:rsidRPr="001E1BB2" w:rsidRDefault="00676E42" w:rsidP="00676E42">
                  <w:pPr>
                    <w:pStyle w:val="Akapitzlist"/>
                    <w:ind w:left="7"/>
                    <w:jc w:val="center"/>
                    <w:rPr>
                      <w:rFonts w:ascii="Arial" w:hAnsi="Arial" w:cs="Arial"/>
                      <w:b/>
                      <w:color w:val="000000"/>
                      <w:sz w:val="16"/>
                      <w:szCs w:val="16"/>
                    </w:rPr>
                  </w:pPr>
                  <w:r w:rsidRPr="001E1BB2">
                    <w:rPr>
                      <w:rFonts w:ascii="Arial" w:hAnsi="Arial" w:cs="Arial"/>
                      <w:b/>
                      <w:color w:val="000000"/>
                      <w:sz w:val="16"/>
                      <w:szCs w:val="16"/>
                    </w:rPr>
                    <w:t>12-2016</w:t>
                  </w:r>
                </w:p>
              </w:tc>
              <w:tc>
                <w:tcPr>
                  <w:tcW w:w="1346" w:type="pct"/>
                  <w:vAlign w:val="center"/>
                </w:tcPr>
                <w:p w14:paraId="7FE22EAE" w14:textId="77777777" w:rsidR="00676E42" w:rsidRPr="001E1BB2" w:rsidRDefault="00676E42" w:rsidP="00676E42">
                  <w:pPr>
                    <w:rPr>
                      <w:rFonts w:ascii="Arial" w:hAnsi="Arial" w:cs="Arial"/>
                      <w:b/>
                      <w:color w:val="0D0D0D"/>
                      <w:sz w:val="16"/>
                      <w:szCs w:val="16"/>
                    </w:rPr>
                  </w:pPr>
                  <w:r w:rsidRPr="001E1BB2">
                    <w:rPr>
                      <w:rFonts w:ascii="Arial" w:hAnsi="Arial" w:cs="Arial"/>
                      <w:b/>
                      <w:color w:val="0D0D0D"/>
                      <w:sz w:val="16"/>
                      <w:szCs w:val="16"/>
                    </w:rPr>
                    <w:t>Stan: osiągnięty -</w:t>
                  </w:r>
                  <w:r w:rsidRPr="001E1BB2">
                    <w:rPr>
                      <w:rFonts w:ascii="Arial" w:hAnsi="Arial" w:cs="Arial"/>
                      <w:b/>
                      <w:sz w:val="16"/>
                      <w:szCs w:val="16"/>
                    </w:rPr>
                    <w:t xml:space="preserve"> (Pierwsze zapytanie ofertowe/przetarg pozostało bez wyłonienia Wykonawcy z uwagi na niespełnienie przez Wykonawców warunków zapytania przez Zamawiającego. Drugie postępowanie zakończono wyłonieniem Wykonawcy.)</w:t>
                  </w:r>
                </w:p>
              </w:tc>
            </w:tr>
            <w:tr w:rsidR="001E1BB2" w:rsidRPr="001E1BB2" w14:paraId="764B8B36" w14:textId="77777777" w:rsidTr="001E1BB2">
              <w:tc>
                <w:tcPr>
                  <w:tcW w:w="1166" w:type="pct"/>
                  <w:vAlign w:val="center"/>
                </w:tcPr>
                <w:p w14:paraId="7B1FF697" w14:textId="77777777" w:rsidR="00676E42" w:rsidRPr="001E1BB2" w:rsidRDefault="00676E42" w:rsidP="00676E42">
                  <w:pPr>
                    <w:rPr>
                      <w:rFonts w:ascii="Arial" w:hAnsi="Arial" w:cs="Arial"/>
                      <w:b/>
                      <w:color w:val="000000"/>
                      <w:sz w:val="16"/>
                      <w:szCs w:val="16"/>
                    </w:rPr>
                  </w:pPr>
                  <w:r w:rsidRPr="001E1BB2">
                    <w:rPr>
                      <w:rFonts w:ascii="Arial" w:hAnsi="Arial" w:cs="Arial"/>
                      <w:b/>
                      <w:color w:val="000000"/>
                      <w:sz w:val="16"/>
                      <w:szCs w:val="16"/>
                    </w:rPr>
                    <w:t xml:space="preserve"> KM - produkt zaimplementowany i przetestowany</w:t>
                  </w:r>
                </w:p>
              </w:tc>
              <w:tc>
                <w:tcPr>
                  <w:tcW w:w="720" w:type="pct"/>
                  <w:tcBorders>
                    <w:top w:val="single" w:sz="4" w:space="0" w:color="auto"/>
                    <w:left w:val="single" w:sz="4" w:space="0" w:color="auto"/>
                    <w:bottom w:val="single" w:sz="4" w:space="0" w:color="auto"/>
                    <w:right w:val="single" w:sz="4" w:space="0" w:color="auto"/>
                  </w:tcBorders>
                  <w:shd w:val="clear" w:color="auto" w:fill="auto"/>
                </w:tcPr>
                <w:p w14:paraId="144406A1"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2 - 196 390,00 szt.</w:t>
                  </w:r>
                </w:p>
              </w:tc>
              <w:tc>
                <w:tcPr>
                  <w:tcW w:w="757" w:type="pct"/>
                  <w:vAlign w:val="center"/>
                </w:tcPr>
                <w:p w14:paraId="10BF0710" w14:textId="77777777" w:rsidR="00676E42" w:rsidRPr="001E1BB2" w:rsidRDefault="00676E42" w:rsidP="00676E42">
                  <w:pPr>
                    <w:rPr>
                      <w:rFonts w:ascii="Arial" w:hAnsi="Arial" w:cs="Arial"/>
                      <w:b/>
                      <w:color w:val="0070C0"/>
                      <w:sz w:val="16"/>
                      <w:szCs w:val="16"/>
                      <w:lang w:eastAsia="pl-PL"/>
                    </w:rPr>
                  </w:pPr>
                  <w:r w:rsidRPr="001E1BB2">
                    <w:rPr>
                      <w:rFonts w:ascii="Arial" w:hAnsi="Arial" w:cs="Arial"/>
                      <w:b/>
                      <w:color w:val="000000"/>
                      <w:sz w:val="16"/>
                      <w:szCs w:val="16"/>
                    </w:rPr>
                    <w:t>03-2017</w:t>
                  </w:r>
                </w:p>
              </w:tc>
              <w:tc>
                <w:tcPr>
                  <w:tcW w:w="1012" w:type="pct"/>
                  <w:vAlign w:val="center"/>
                </w:tcPr>
                <w:p w14:paraId="0B7EA99D" w14:textId="77777777" w:rsidR="00676E42" w:rsidRPr="001E1BB2" w:rsidRDefault="00676E42" w:rsidP="00676E42">
                  <w:pPr>
                    <w:pStyle w:val="Akapitzlist"/>
                    <w:ind w:left="7"/>
                    <w:jc w:val="center"/>
                    <w:rPr>
                      <w:rFonts w:ascii="Arial" w:hAnsi="Arial" w:cs="Arial"/>
                      <w:b/>
                      <w:color w:val="000000"/>
                      <w:sz w:val="16"/>
                      <w:szCs w:val="16"/>
                    </w:rPr>
                  </w:pPr>
                  <w:r w:rsidRPr="001E1BB2">
                    <w:rPr>
                      <w:rFonts w:ascii="Arial" w:hAnsi="Arial" w:cs="Arial"/>
                      <w:b/>
                      <w:color w:val="000000"/>
                      <w:sz w:val="16"/>
                      <w:szCs w:val="16"/>
                    </w:rPr>
                    <w:t>03-2017</w:t>
                  </w:r>
                </w:p>
              </w:tc>
              <w:tc>
                <w:tcPr>
                  <w:tcW w:w="1346" w:type="pct"/>
                  <w:vAlign w:val="center"/>
                </w:tcPr>
                <w:p w14:paraId="153D9360"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Stan: osiągnięty</w:t>
                  </w:r>
                </w:p>
              </w:tc>
            </w:tr>
            <w:tr w:rsidR="001E1BB2" w:rsidRPr="001E1BB2" w14:paraId="3BF9EDC3" w14:textId="77777777" w:rsidTr="001E1BB2">
              <w:tc>
                <w:tcPr>
                  <w:tcW w:w="1166" w:type="pct"/>
                  <w:vAlign w:val="center"/>
                </w:tcPr>
                <w:p w14:paraId="4B287F71" w14:textId="77777777" w:rsidR="00676E42" w:rsidRPr="001E1BB2" w:rsidRDefault="00676E42" w:rsidP="00676E42">
                  <w:pPr>
                    <w:rPr>
                      <w:rFonts w:ascii="Arial" w:hAnsi="Arial" w:cs="Arial"/>
                      <w:b/>
                      <w:color w:val="000000"/>
                      <w:sz w:val="16"/>
                      <w:szCs w:val="16"/>
                    </w:rPr>
                  </w:pPr>
                  <w:r w:rsidRPr="001E1BB2">
                    <w:rPr>
                      <w:rFonts w:ascii="Arial" w:hAnsi="Arial" w:cs="Arial"/>
                      <w:b/>
                      <w:color w:val="000000"/>
                      <w:sz w:val="16"/>
                      <w:szCs w:val="16"/>
                    </w:rPr>
                    <w:t>KM - produkt zaimplementowany i przetestowany</w:t>
                  </w:r>
                </w:p>
              </w:tc>
              <w:tc>
                <w:tcPr>
                  <w:tcW w:w="720" w:type="pct"/>
                  <w:tcBorders>
                    <w:top w:val="single" w:sz="4" w:space="0" w:color="auto"/>
                    <w:left w:val="single" w:sz="4" w:space="0" w:color="auto"/>
                    <w:bottom w:val="single" w:sz="4" w:space="0" w:color="auto"/>
                    <w:right w:val="single" w:sz="4" w:space="0" w:color="auto"/>
                  </w:tcBorders>
                  <w:shd w:val="clear" w:color="auto" w:fill="auto"/>
                </w:tcPr>
                <w:p w14:paraId="6BADF062"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2 - 196 390,00 szt.</w:t>
                  </w:r>
                </w:p>
              </w:tc>
              <w:tc>
                <w:tcPr>
                  <w:tcW w:w="757" w:type="pct"/>
                  <w:vAlign w:val="center"/>
                </w:tcPr>
                <w:p w14:paraId="0AEBD3BE" w14:textId="77777777" w:rsidR="00676E42" w:rsidRPr="001E1BB2" w:rsidRDefault="00676E42" w:rsidP="00676E42">
                  <w:pPr>
                    <w:rPr>
                      <w:rFonts w:ascii="Arial" w:hAnsi="Arial" w:cs="Arial"/>
                      <w:b/>
                      <w:color w:val="0070C0"/>
                      <w:sz w:val="16"/>
                      <w:szCs w:val="16"/>
                      <w:lang w:eastAsia="pl-PL"/>
                    </w:rPr>
                  </w:pPr>
                  <w:r w:rsidRPr="001E1BB2">
                    <w:rPr>
                      <w:rFonts w:ascii="Arial" w:hAnsi="Arial" w:cs="Arial"/>
                      <w:b/>
                      <w:color w:val="000000"/>
                      <w:sz w:val="16"/>
                      <w:szCs w:val="16"/>
                    </w:rPr>
                    <w:t>03-2019</w:t>
                  </w:r>
                </w:p>
              </w:tc>
              <w:tc>
                <w:tcPr>
                  <w:tcW w:w="1012" w:type="pct"/>
                  <w:vAlign w:val="center"/>
                </w:tcPr>
                <w:p w14:paraId="1426E87B" w14:textId="77777777" w:rsidR="00676E42" w:rsidRPr="001E1BB2" w:rsidRDefault="00676E42" w:rsidP="00676E42">
                  <w:pPr>
                    <w:pStyle w:val="Akapitzlist"/>
                    <w:ind w:left="7"/>
                    <w:jc w:val="center"/>
                    <w:rPr>
                      <w:rFonts w:ascii="Arial" w:hAnsi="Arial" w:cs="Arial"/>
                      <w:b/>
                      <w:color w:val="000000"/>
                      <w:sz w:val="16"/>
                      <w:szCs w:val="16"/>
                    </w:rPr>
                  </w:pPr>
                  <w:r w:rsidRPr="001E1BB2">
                    <w:rPr>
                      <w:rFonts w:ascii="Arial" w:hAnsi="Arial" w:cs="Arial"/>
                      <w:b/>
                      <w:color w:val="000000"/>
                      <w:sz w:val="16"/>
                      <w:szCs w:val="16"/>
                    </w:rPr>
                    <w:t>04-2019</w:t>
                  </w:r>
                </w:p>
              </w:tc>
              <w:tc>
                <w:tcPr>
                  <w:tcW w:w="1346" w:type="pct"/>
                  <w:vAlign w:val="center"/>
                </w:tcPr>
                <w:p w14:paraId="33B182F6" w14:textId="77777777" w:rsidR="00676E42" w:rsidRPr="001E1BB2" w:rsidRDefault="00676E42" w:rsidP="00EA4A47">
                  <w:pPr>
                    <w:rPr>
                      <w:rFonts w:ascii="Arial" w:hAnsi="Arial" w:cs="Arial"/>
                      <w:b/>
                      <w:color w:val="0070C0"/>
                      <w:sz w:val="16"/>
                      <w:szCs w:val="16"/>
                    </w:rPr>
                  </w:pPr>
                  <w:r w:rsidRPr="001E1BB2">
                    <w:rPr>
                      <w:rFonts w:ascii="Arial" w:hAnsi="Arial" w:cs="Arial"/>
                      <w:b/>
                      <w:color w:val="0D0D0D"/>
                      <w:sz w:val="16"/>
                      <w:szCs w:val="16"/>
                    </w:rPr>
                    <w:t xml:space="preserve">Stan: osiągnięty - Ostatnie dane do konwertowania zostały przekazane przez GIS do NIZP-PZH w dniu 15.04.2019 r. Wszystkie niejednorodne i rozproszone dane z zakresu bezpieczeństwa żywności zostały przekonwertowane do formatu zgodnego ze strukturą bazy danych. Do wykonawcy został przekazany typowy zestaw danych i nie stwierdzono problemów w jego włączeniu w strukturę bazy danych. Tak więc za datę potwierdzającą osiągnięcie kamienia milowego przyjmuje się datę przekazania przetestowanych danych </w:t>
                  </w:r>
                  <w:r w:rsidRPr="001E1BB2">
                    <w:rPr>
                      <w:rFonts w:ascii="Arial" w:hAnsi="Arial" w:cs="Arial"/>
                      <w:b/>
                      <w:color w:val="0D0D0D"/>
                      <w:sz w:val="16"/>
                      <w:szCs w:val="16"/>
                    </w:rPr>
                    <w:lastRenderedPageBreak/>
                    <w:t xml:space="preserve">wykonawcy, tj.:  16.04.2019 r. Wszystkie pliki z danymi są zarchiwizowane i </w:t>
                  </w:r>
                  <w:r w:rsidR="00EA4A47">
                    <w:rPr>
                      <w:rFonts w:ascii="Arial" w:hAnsi="Arial" w:cs="Arial"/>
                      <w:b/>
                      <w:color w:val="0D0D0D"/>
                      <w:sz w:val="16"/>
                      <w:szCs w:val="16"/>
                    </w:rPr>
                    <w:t>zaimplementowane</w:t>
                  </w:r>
                  <w:r w:rsidRPr="001E1BB2">
                    <w:rPr>
                      <w:rFonts w:ascii="Arial" w:hAnsi="Arial" w:cs="Arial"/>
                      <w:b/>
                      <w:color w:val="0D0D0D"/>
                      <w:sz w:val="16"/>
                      <w:szCs w:val="16"/>
                    </w:rPr>
                    <w:t>.</w:t>
                  </w:r>
                </w:p>
              </w:tc>
            </w:tr>
            <w:tr w:rsidR="001E1BB2" w:rsidRPr="001E1BB2" w14:paraId="0D572F44" w14:textId="77777777" w:rsidTr="001E1BB2">
              <w:tc>
                <w:tcPr>
                  <w:tcW w:w="1166" w:type="pct"/>
                  <w:vAlign w:val="center"/>
                </w:tcPr>
                <w:p w14:paraId="7E2315DF" w14:textId="77777777" w:rsidR="00676E42" w:rsidRPr="001E1BB2" w:rsidRDefault="00676E42" w:rsidP="00676E42">
                  <w:pPr>
                    <w:rPr>
                      <w:rFonts w:ascii="Arial" w:hAnsi="Arial" w:cs="Arial"/>
                      <w:b/>
                      <w:color w:val="000000"/>
                      <w:sz w:val="16"/>
                      <w:szCs w:val="16"/>
                    </w:rPr>
                  </w:pPr>
                  <w:r w:rsidRPr="001E1BB2">
                    <w:rPr>
                      <w:rFonts w:ascii="Arial" w:hAnsi="Arial" w:cs="Arial"/>
                      <w:b/>
                      <w:color w:val="000000"/>
                      <w:sz w:val="16"/>
                      <w:szCs w:val="16"/>
                    </w:rPr>
                    <w:lastRenderedPageBreak/>
                    <w:t>KM - klasyfikacja wykonana i odebrana</w:t>
                  </w:r>
                </w:p>
              </w:tc>
              <w:tc>
                <w:tcPr>
                  <w:tcW w:w="720" w:type="pct"/>
                  <w:tcBorders>
                    <w:top w:val="single" w:sz="4" w:space="0" w:color="auto"/>
                    <w:left w:val="single" w:sz="4" w:space="0" w:color="auto"/>
                    <w:bottom w:val="single" w:sz="4" w:space="0" w:color="auto"/>
                    <w:right w:val="single" w:sz="4" w:space="0" w:color="auto"/>
                  </w:tcBorders>
                  <w:shd w:val="clear" w:color="auto" w:fill="auto"/>
                </w:tcPr>
                <w:p w14:paraId="230B0985"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2 - 196 390,00 szt.</w:t>
                  </w:r>
                </w:p>
              </w:tc>
              <w:tc>
                <w:tcPr>
                  <w:tcW w:w="757" w:type="pct"/>
                  <w:vAlign w:val="center"/>
                </w:tcPr>
                <w:p w14:paraId="7978F061" w14:textId="77777777" w:rsidR="00676E42" w:rsidRPr="001E1BB2" w:rsidRDefault="00676E42" w:rsidP="00676E42">
                  <w:pPr>
                    <w:rPr>
                      <w:rFonts w:ascii="Arial" w:hAnsi="Arial" w:cs="Arial"/>
                      <w:b/>
                      <w:color w:val="0070C0"/>
                      <w:sz w:val="16"/>
                      <w:szCs w:val="16"/>
                      <w:lang w:eastAsia="pl-PL"/>
                    </w:rPr>
                  </w:pPr>
                  <w:r w:rsidRPr="001E1BB2">
                    <w:rPr>
                      <w:rFonts w:ascii="Arial" w:hAnsi="Arial" w:cs="Arial"/>
                      <w:b/>
                      <w:color w:val="000000"/>
                      <w:sz w:val="16"/>
                      <w:szCs w:val="16"/>
                    </w:rPr>
                    <w:t>07-2019</w:t>
                  </w:r>
                </w:p>
              </w:tc>
              <w:tc>
                <w:tcPr>
                  <w:tcW w:w="1012" w:type="pct"/>
                  <w:vAlign w:val="center"/>
                </w:tcPr>
                <w:p w14:paraId="2FAABADE" w14:textId="77777777" w:rsidR="00676E42" w:rsidRPr="001E1BB2" w:rsidRDefault="00676E42" w:rsidP="00676E42">
                  <w:pPr>
                    <w:pStyle w:val="Akapitzlist"/>
                    <w:ind w:left="7"/>
                    <w:jc w:val="center"/>
                    <w:rPr>
                      <w:rFonts w:ascii="Arial" w:hAnsi="Arial" w:cs="Arial"/>
                      <w:b/>
                      <w:color w:val="000000"/>
                      <w:sz w:val="16"/>
                      <w:szCs w:val="16"/>
                    </w:rPr>
                  </w:pPr>
                  <w:r w:rsidRPr="001E1BB2">
                    <w:rPr>
                      <w:rFonts w:ascii="Arial" w:hAnsi="Arial" w:cs="Arial"/>
                      <w:b/>
                      <w:color w:val="000000"/>
                      <w:sz w:val="16"/>
                      <w:szCs w:val="16"/>
                    </w:rPr>
                    <w:t>07-2019</w:t>
                  </w:r>
                </w:p>
              </w:tc>
              <w:tc>
                <w:tcPr>
                  <w:tcW w:w="1346" w:type="pct"/>
                  <w:vAlign w:val="center"/>
                </w:tcPr>
                <w:p w14:paraId="43CF936A"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Stan: osiągnięty</w:t>
                  </w:r>
                </w:p>
              </w:tc>
            </w:tr>
            <w:tr w:rsidR="001E1BB2" w:rsidRPr="001E1BB2" w14:paraId="012E2480" w14:textId="77777777" w:rsidTr="001E1BB2">
              <w:tc>
                <w:tcPr>
                  <w:tcW w:w="1166" w:type="pct"/>
                  <w:vAlign w:val="center"/>
                </w:tcPr>
                <w:p w14:paraId="64BCEA70" w14:textId="77777777" w:rsidR="00676E42" w:rsidRPr="001E1BB2" w:rsidRDefault="00676E42" w:rsidP="00676E42">
                  <w:pPr>
                    <w:rPr>
                      <w:rFonts w:ascii="Arial" w:hAnsi="Arial" w:cs="Arial"/>
                      <w:b/>
                      <w:color w:val="000000"/>
                      <w:sz w:val="16"/>
                      <w:szCs w:val="16"/>
                    </w:rPr>
                  </w:pPr>
                  <w:r w:rsidRPr="001E1BB2">
                    <w:rPr>
                      <w:rFonts w:ascii="Arial" w:hAnsi="Arial" w:cs="Arial"/>
                      <w:b/>
                      <w:color w:val="000000"/>
                      <w:sz w:val="16"/>
                      <w:szCs w:val="16"/>
                    </w:rPr>
                    <w:t>KM - tłumaczenie wykonane i odebrane</w:t>
                  </w:r>
                </w:p>
              </w:tc>
              <w:tc>
                <w:tcPr>
                  <w:tcW w:w="720" w:type="pct"/>
                  <w:tcBorders>
                    <w:top w:val="single" w:sz="4" w:space="0" w:color="auto"/>
                    <w:left w:val="single" w:sz="4" w:space="0" w:color="auto"/>
                    <w:bottom w:val="single" w:sz="4" w:space="0" w:color="auto"/>
                    <w:right w:val="single" w:sz="4" w:space="0" w:color="auto"/>
                  </w:tcBorders>
                  <w:shd w:val="clear" w:color="auto" w:fill="auto"/>
                </w:tcPr>
                <w:p w14:paraId="3E7AC75E"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Nie dotyczy</w:t>
                  </w:r>
                </w:p>
              </w:tc>
              <w:tc>
                <w:tcPr>
                  <w:tcW w:w="757" w:type="pct"/>
                  <w:vAlign w:val="center"/>
                </w:tcPr>
                <w:p w14:paraId="073F4495" w14:textId="77777777" w:rsidR="00676E42" w:rsidRPr="001E1BB2" w:rsidRDefault="00676E42" w:rsidP="00676E42">
                  <w:pPr>
                    <w:rPr>
                      <w:rFonts w:ascii="Arial" w:hAnsi="Arial" w:cs="Arial"/>
                      <w:b/>
                      <w:color w:val="0070C0"/>
                      <w:sz w:val="16"/>
                      <w:szCs w:val="16"/>
                      <w:lang w:eastAsia="pl-PL"/>
                    </w:rPr>
                  </w:pPr>
                  <w:r w:rsidRPr="001E1BB2">
                    <w:rPr>
                      <w:rFonts w:ascii="Arial" w:hAnsi="Arial" w:cs="Arial"/>
                      <w:b/>
                      <w:color w:val="000000"/>
                      <w:sz w:val="16"/>
                      <w:szCs w:val="16"/>
                    </w:rPr>
                    <w:t>03-2017</w:t>
                  </w:r>
                </w:p>
              </w:tc>
              <w:tc>
                <w:tcPr>
                  <w:tcW w:w="1012" w:type="pct"/>
                  <w:vAlign w:val="center"/>
                </w:tcPr>
                <w:p w14:paraId="2136BD08" w14:textId="77777777" w:rsidR="00676E42" w:rsidRPr="001E1BB2" w:rsidRDefault="00676E42" w:rsidP="00676E42">
                  <w:pPr>
                    <w:pStyle w:val="Akapitzlist"/>
                    <w:ind w:left="7"/>
                    <w:jc w:val="center"/>
                    <w:rPr>
                      <w:rFonts w:ascii="Arial" w:hAnsi="Arial" w:cs="Arial"/>
                      <w:b/>
                      <w:color w:val="000000"/>
                      <w:sz w:val="16"/>
                      <w:szCs w:val="16"/>
                    </w:rPr>
                  </w:pPr>
                  <w:r w:rsidRPr="001E1BB2">
                    <w:rPr>
                      <w:rFonts w:ascii="Arial" w:hAnsi="Arial" w:cs="Arial"/>
                      <w:b/>
                      <w:color w:val="000000"/>
                      <w:sz w:val="16"/>
                      <w:szCs w:val="16"/>
                    </w:rPr>
                    <w:t>03-2017</w:t>
                  </w:r>
                </w:p>
              </w:tc>
              <w:tc>
                <w:tcPr>
                  <w:tcW w:w="1346" w:type="pct"/>
                  <w:vAlign w:val="center"/>
                </w:tcPr>
                <w:p w14:paraId="4BFE9886"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Stan: osiągnięty</w:t>
                  </w:r>
                </w:p>
              </w:tc>
            </w:tr>
            <w:tr w:rsidR="001E1BB2" w:rsidRPr="001E1BB2" w14:paraId="45258617" w14:textId="77777777" w:rsidTr="001E1BB2">
              <w:tc>
                <w:tcPr>
                  <w:tcW w:w="1166" w:type="pct"/>
                  <w:vAlign w:val="center"/>
                </w:tcPr>
                <w:p w14:paraId="623AF17A" w14:textId="77777777" w:rsidR="00676E42" w:rsidRPr="001E1BB2" w:rsidRDefault="00676E42" w:rsidP="00676E42">
                  <w:pPr>
                    <w:rPr>
                      <w:rFonts w:ascii="Arial" w:hAnsi="Arial" w:cs="Arial"/>
                      <w:b/>
                      <w:color w:val="000000"/>
                      <w:sz w:val="16"/>
                      <w:szCs w:val="16"/>
                    </w:rPr>
                  </w:pPr>
                  <w:r w:rsidRPr="001E1BB2">
                    <w:rPr>
                      <w:rFonts w:ascii="Arial" w:hAnsi="Arial" w:cs="Arial"/>
                      <w:b/>
                      <w:color w:val="000000"/>
                      <w:sz w:val="16"/>
                      <w:szCs w:val="16"/>
                    </w:rPr>
                    <w:t>KM - System uruchomiony produkcyjnie, dokumentacja odebrana</w:t>
                  </w:r>
                </w:p>
              </w:tc>
              <w:tc>
                <w:tcPr>
                  <w:tcW w:w="720" w:type="pct"/>
                  <w:tcBorders>
                    <w:top w:val="single" w:sz="4" w:space="0" w:color="auto"/>
                    <w:left w:val="single" w:sz="4" w:space="0" w:color="auto"/>
                    <w:bottom w:val="single" w:sz="4" w:space="0" w:color="auto"/>
                    <w:right w:val="single" w:sz="4" w:space="0" w:color="auto"/>
                  </w:tcBorders>
                  <w:shd w:val="clear" w:color="auto" w:fill="auto"/>
                </w:tcPr>
                <w:p w14:paraId="0A4ED142" w14:textId="77777777" w:rsidR="00676E42" w:rsidRPr="001E1BB2" w:rsidRDefault="00676E42" w:rsidP="00676E42">
                  <w:pPr>
                    <w:rPr>
                      <w:rFonts w:ascii="Arial" w:hAnsi="Arial" w:cs="Arial"/>
                      <w:b/>
                      <w:color w:val="0070C0"/>
                      <w:sz w:val="16"/>
                      <w:szCs w:val="16"/>
                    </w:rPr>
                  </w:pPr>
                  <w:r w:rsidRPr="001E1BB2">
                    <w:rPr>
                      <w:rFonts w:ascii="Arial" w:hAnsi="Arial" w:cs="Arial"/>
                      <w:b/>
                      <w:color w:val="000000"/>
                      <w:sz w:val="16"/>
                      <w:szCs w:val="16"/>
                    </w:rPr>
                    <w:t>5 – 2 szt.</w:t>
                  </w:r>
                </w:p>
              </w:tc>
              <w:tc>
                <w:tcPr>
                  <w:tcW w:w="757" w:type="pct"/>
                  <w:vAlign w:val="center"/>
                </w:tcPr>
                <w:p w14:paraId="0CBE7A31" w14:textId="77777777" w:rsidR="00676E42" w:rsidRPr="001E1BB2" w:rsidRDefault="00676E42" w:rsidP="00676E42">
                  <w:pPr>
                    <w:rPr>
                      <w:rFonts w:ascii="Arial" w:hAnsi="Arial" w:cs="Arial"/>
                      <w:b/>
                      <w:color w:val="0070C0"/>
                      <w:sz w:val="16"/>
                      <w:szCs w:val="16"/>
                      <w:lang w:eastAsia="pl-PL"/>
                    </w:rPr>
                  </w:pPr>
                  <w:r w:rsidRPr="001E1BB2">
                    <w:rPr>
                      <w:rFonts w:ascii="Arial" w:hAnsi="Arial" w:cs="Arial"/>
                      <w:b/>
                      <w:color w:val="000000"/>
                      <w:sz w:val="16"/>
                      <w:szCs w:val="16"/>
                    </w:rPr>
                    <w:t>07-2019</w:t>
                  </w:r>
                </w:p>
              </w:tc>
              <w:tc>
                <w:tcPr>
                  <w:tcW w:w="1012" w:type="pct"/>
                  <w:vAlign w:val="center"/>
                </w:tcPr>
                <w:p w14:paraId="02625989" w14:textId="77777777" w:rsidR="00676E42" w:rsidRPr="001E1BB2" w:rsidRDefault="00676E42" w:rsidP="00676E42">
                  <w:pPr>
                    <w:pStyle w:val="Akapitzlist"/>
                    <w:ind w:left="7"/>
                    <w:jc w:val="center"/>
                    <w:rPr>
                      <w:rFonts w:ascii="Arial" w:hAnsi="Arial" w:cs="Arial"/>
                      <w:b/>
                      <w:color w:val="000000"/>
                      <w:sz w:val="16"/>
                      <w:szCs w:val="16"/>
                    </w:rPr>
                  </w:pPr>
                  <w:r w:rsidRPr="001E1BB2">
                    <w:rPr>
                      <w:rFonts w:ascii="Arial" w:hAnsi="Arial" w:cs="Arial"/>
                      <w:b/>
                      <w:color w:val="000000"/>
                      <w:sz w:val="16"/>
                      <w:szCs w:val="16"/>
                    </w:rPr>
                    <w:t>07-2019</w:t>
                  </w:r>
                </w:p>
              </w:tc>
              <w:tc>
                <w:tcPr>
                  <w:tcW w:w="1346" w:type="pct"/>
                  <w:vAlign w:val="center"/>
                </w:tcPr>
                <w:p w14:paraId="121184EF"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Stan: osiągnięty</w:t>
                  </w:r>
                </w:p>
              </w:tc>
            </w:tr>
            <w:tr w:rsidR="001E1BB2" w:rsidRPr="001E1BB2" w14:paraId="03C7B077" w14:textId="77777777" w:rsidTr="001E1BB2">
              <w:tc>
                <w:tcPr>
                  <w:tcW w:w="1166" w:type="pct"/>
                  <w:vAlign w:val="center"/>
                </w:tcPr>
                <w:p w14:paraId="4B95F2DA" w14:textId="77777777" w:rsidR="00676E42" w:rsidRPr="001E1BB2" w:rsidRDefault="00676E42" w:rsidP="00676E42">
                  <w:pPr>
                    <w:rPr>
                      <w:rFonts w:ascii="Arial" w:hAnsi="Arial" w:cs="Arial"/>
                      <w:b/>
                      <w:color w:val="000000"/>
                      <w:sz w:val="16"/>
                      <w:szCs w:val="16"/>
                    </w:rPr>
                  </w:pPr>
                  <w:r w:rsidRPr="001E1BB2">
                    <w:rPr>
                      <w:rFonts w:ascii="Arial" w:hAnsi="Arial" w:cs="Arial"/>
                      <w:b/>
                      <w:color w:val="000000"/>
                      <w:sz w:val="16"/>
                      <w:szCs w:val="16"/>
                    </w:rPr>
                    <w:t xml:space="preserve">KM - System </w:t>
                  </w:r>
                  <w:proofErr w:type="spellStart"/>
                  <w:r w:rsidRPr="001E1BB2">
                    <w:rPr>
                      <w:rFonts w:ascii="Arial" w:hAnsi="Arial" w:cs="Arial"/>
                      <w:b/>
                      <w:color w:val="000000"/>
                      <w:sz w:val="16"/>
                      <w:szCs w:val="16"/>
                    </w:rPr>
                    <w:t>Chroobowości</w:t>
                  </w:r>
                  <w:proofErr w:type="spellEnd"/>
                  <w:r w:rsidRPr="001E1BB2">
                    <w:rPr>
                      <w:rFonts w:ascii="Arial" w:hAnsi="Arial" w:cs="Arial"/>
                      <w:b/>
                      <w:color w:val="000000"/>
                      <w:sz w:val="16"/>
                      <w:szCs w:val="16"/>
                    </w:rPr>
                    <w:t xml:space="preserve"> Szpitalnej dostosowany i przetestowany</w:t>
                  </w:r>
                </w:p>
              </w:tc>
              <w:tc>
                <w:tcPr>
                  <w:tcW w:w="720" w:type="pct"/>
                  <w:tcBorders>
                    <w:top w:val="single" w:sz="4" w:space="0" w:color="auto"/>
                    <w:left w:val="single" w:sz="4" w:space="0" w:color="auto"/>
                    <w:bottom w:val="single" w:sz="4" w:space="0" w:color="auto"/>
                    <w:right w:val="single" w:sz="4" w:space="0" w:color="auto"/>
                  </w:tcBorders>
                  <w:shd w:val="clear" w:color="auto" w:fill="auto"/>
                </w:tcPr>
                <w:p w14:paraId="52926E82" w14:textId="77777777" w:rsidR="00676E42" w:rsidRPr="001E1BB2" w:rsidRDefault="00676E42" w:rsidP="00676E42">
                  <w:pPr>
                    <w:rPr>
                      <w:rFonts w:ascii="Arial" w:hAnsi="Arial" w:cs="Arial"/>
                      <w:b/>
                      <w:color w:val="0070C0"/>
                      <w:sz w:val="16"/>
                      <w:szCs w:val="16"/>
                    </w:rPr>
                  </w:pPr>
                  <w:r w:rsidRPr="001E1BB2">
                    <w:rPr>
                      <w:rFonts w:ascii="Arial" w:hAnsi="Arial" w:cs="Arial"/>
                      <w:b/>
                      <w:color w:val="000000"/>
                      <w:sz w:val="16"/>
                      <w:szCs w:val="16"/>
                    </w:rPr>
                    <w:t>5 – 2 szt.</w:t>
                  </w:r>
                </w:p>
              </w:tc>
              <w:tc>
                <w:tcPr>
                  <w:tcW w:w="757" w:type="pct"/>
                  <w:vAlign w:val="center"/>
                </w:tcPr>
                <w:p w14:paraId="56A65ED8" w14:textId="77777777" w:rsidR="00676E42" w:rsidRPr="001E1BB2" w:rsidRDefault="00676E42" w:rsidP="00676E42">
                  <w:pPr>
                    <w:rPr>
                      <w:rFonts w:ascii="Arial" w:hAnsi="Arial" w:cs="Arial"/>
                      <w:b/>
                      <w:color w:val="0070C0"/>
                      <w:sz w:val="16"/>
                      <w:szCs w:val="16"/>
                      <w:lang w:eastAsia="pl-PL"/>
                    </w:rPr>
                  </w:pPr>
                  <w:r w:rsidRPr="001E1BB2">
                    <w:rPr>
                      <w:rFonts w:ascii="Arial" w:hAnsi="Arial" w:cs="Arial"/>
                      <w:b/>
                      <w:color w:val="000000"/>
                      <w:sz w:val="16"/>
                      <w:szCs w:val="16"/>
                    </w:rPr>
                    <w:t>07-2019</w:t>
                  </w:r>
                </w:p>
              </w:tc>
              <w:tc>
                <w:tcPr>
                  <w:tcW w:w="1012" w:type="pct"/>
                  <w:vAlign w:val="center"/>
                </w:tcPr>
                <w:p w14:paraId="47917AB5" w14:textId="77777777" w:rsidR="00676E42" w:rsidRPr="001E1BB2" w:rsidRDefault="00676E42" w:rsidP="00676E42">
                  <w:pPr>
                    <w:pStyle w:val="Akapitzlist"/>
                    <w:ind w:left="7"/>
                    <w:jc w:val="center"/>
                    <w:rPr>
                      <w:rFonts w:ascii="Arial" w:hAnsi="Arial" w:cs="Arial"/>
                      <w:b/>
                      <w:color w:val="000000"/>
                      <w:sz w:val="16"/>
                      <w:szCs w:val="16"/>
                    </w:rPr>
                  </w:pPr>
                  <w:r w:rsidRPr="001E1BB2">
                    <w:rPr>
                      <w:rFonts w:ascii="Arial" w:hAnsi="Arial" w:cs="Arial"/>
                      <w:b/>
                      <w:color w:val="000000"/>
                      <w:sz w:val="16"/>
                      <w:szCs w:val="16"/>
                    </w:rPr>
                    <w:t>07-2019</w:t>
                  </w:r>
                </w:p>
              </w:tc>
              <w:tc>
                <w:tcPr>
                  <w:tcW w:w="1346" w:type="pct"/>
                  <w:vAlign w:val="center"/>
                </w:tcPr>
                <w:p w14:paraId="331D3D5C"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Stan: osiągnięty</w:t>
                  </w:r>
                </w:p>
              </w:tc>
            </w:tr>
            <w:tr w:rsidR="001E1BB2" w:rsidRPr="001E1BB2" w14:paraId="6627E14D" w14:textId="77777777" w:rsidTr="001E1BB2">
              <w:tc>
                <w:tcPr>
                  <w:tcW w:w="1166" w:type="pct"/>
                  <w:vAlign w:val="center"/>
                </w:tcPr>
                <w:p w14:paraId="1EC987FE" w14:textId="77777777" w:rsidR="00676E42" w:rsidRPr="001E1BB2" w:rsidRDefault="00676E42" w:rsidP="00676E42">
                  <w:pPr>
                    <w:rPr>
                      <w:rFonts w:ascii="Arial" w:hAnsi="Arial" w:cs="Arial"/>
                      <w:b/>
                      <w:color w:val="000000"/>
                      <w:sz w:val="16"/>
                      <w:szCs w:val="16"/>
                    </w:rPr>
                  </w:pPr>
                  <w:r w:rsidRPr="001E1BB2">
                    <w:rPr>
                      <w:rFonts w:ascii="Arial" w:hAnsi="Arial" w:cs="Arial"/>
                      <w:b/>
                      <w:color w:val="000000"/>
                      <w:sz w:val="16"/>
                      <w:szCs w:val="16"/>
                    </w:rPr>
                    <w:t xml:space="preserve">KM - System </w:t>
                  </w:r>
                  <w:proofErr w:type="spellStart"/>
                  <w:r w:rsidRPr="001E1BB2">
                    <w:rPr>
                      <w:rFonts w:ascii="Arial" w:hAnsi="Arial" w:cs="Arial"/>
                      <w:b/>
                      <w:color w:val="000000"/>
                      <w:sz w:val="16"/>
                      <w:szCs w:val="16"/>
                    </w:rPr>
                    <w:t>Chroobowości</w:t>
                  </w:r>
                  <w:proofErr w:type="spellEnd"/>
                  <w:r w:rsidRPr="001E1BB2">
                    <w:rPr>
                      <w:rFonts w:ascii="Arial" w:hAnsi="Arial" w:cs="Arial"/>
                      <w:b/>
                      <w:color w:val="000000"/>
                      <w:sz w:val="16"/>
                      <w:szCs w:val="16"/>
                    </w:rPr>
                    <w:t xml:space="preserve"> Szpitalnej dostosowany i przetestowany</w:t>
                  </w:r>
                </w:p>
              </w:tc>
              <w:tc>
                <w:tcPr>
                  <w:tcW w:w="720" w:type="pct"/>
                  <w:tcBorders>
                    <w:top w:val="single" w:sz="4" w:space="0" w:color="auto"/>
                    <w:left w:val="single" w:sz="4" w:space="0" w:color="auto"/>
                    <w:bottom w:val="single" w:sz="4" w:space="0" w:color="auto"/>
                    <w:right w:val="single" w:sz="4" w:space="0" w:color="auto"/>
                  </w:tcBorders>
                  <w:shd w:val="clear" w:color="auto" w:fill="auto"/>
                </w:tcPr>
                <w:p w14:paraId="3472EF0B" w14:textId="77777777" w:rsidR="00676E42" w:rsidRPr="001E1BB2" w:rsidRDefault="00676E42" w:rsidP="00676E42">
                  <w:pPr>
                    <w:rPr>
                      <w:rFonts w:ascii="Arial" w:hAnsi="Arial" w:cs="Arial"/>
                      <w:b/>
                      <w:color w:val="000000"/>
                      <w:sz w:val="16"/>
                      <w:szCs w:val="16"/>
                    </w:rPr>
                  </w:pPr>
                  <w:r w:rsidRPr="001E1BB2">
                    <w:rPr>
                      <w:rFonts w:ascii="Arial" w:hAnsi="Arial" w:cs="Arial"/>
                      <w:b/>
                      <w:color w:val="000000"/>
                      <w:sz w:val="16"/>
                      <w:szCs w:val="16"/>
                    </w:rPr>
                    <w:t>5 – 2 szt.</w:t>
                  </w:r>
                </w:p>
              </w:tc>
              <w:tc>
                <w:tcPr>
                  <w:tcW w:w="757" w:type="pct"/>
                  <w:vAlign w:val="center"/>
                </w:tcPr>
                <w:p w14:paraId="384955AF" w14:textId="77777777" w:rsidR="00676E42" w:rsidRPr="001E1BB2" w:rsidRDefault="00676E42" w:rsidP="00676E42">
                  <w:pPr>
                    <w:rPr>
                      <w:rFonts w:ascii="Arial" w:hAnsi="Arial" w:cs="Arial"/>
                      <w:b/>
                      <w:color w:val="0070C0"/>
                      <w:sz w:val="16"/>
                      <w:szCs w:val="16"/>
                      <w:lang w:eastAsia="pl-PL"/>
                    </w:rPr>
                  </w:pPr>
                  <w:r w:rsidRPr="001E1BB2">
                    <w:rPr>
                      <w:rFonts w:ascii="Arial" w:hAnsi="Arial" w:cs="Arial"/>
                      <w:b/>
                      <w:color w:val="000000"/>
                      <w:sz w:val="16"/>
                      <w:szCs w:val="16"/>
                    </w:rPr>
                    <w:t>04-2019</w:t>
                  </w:r>
                </w:p>
              </w:tc>
              <w:tc>
                <w:tcPr>
                  <w:tcW w:w="1012" w:type="pct"/>
                  <w:vAlign w:val="center"/>
                </w:tcPr>
                <w:p w14:paraId="7068E87F" w14:textId="77777777" w:rsidR="00676E42" w:rsidRPr="001E1BB2" w:rsidRDefault="00676E42" w:rsidP="00676E42">
                  <w:pPr>
                    <w:pStyle w:val="Akapitzlist"/>
                    <w:ind w:left="7"/>
                    <w:jc w:val="center"/>
                    <w:rPr>
                      <w:rFonts w:ascii="Arial" w:hAnsi="Arial" w:cs="Arial"/>
                      <w:b/>
                      <w:color w:val="000000"/>
                      <w:sz w:val="16"/>
                      <w:szCs w:val="16"/>
                    </w:rPr>
                  </w:pPr>
                  <w:r w:rsidRPr="001E1BB2">
                    <w:rPr>
                      <w:rFonts w:ascii="Arial" w:hAnsi="Arial" w:cs="Arial"/>
                      <w:b/>
                      <w:color w:val="000000"/>
                      <w:sz w:val="16"/>
                      <w:szCs w:val="16"/>
                    </w:rPr>
                    <w:t>01-2019</w:t>
                  </w:r>
                </w:p>
              </w:tc>
              <w:tc>
                <w:tcPr>
                  <w:tcW w:w="1346" w:type="pct"/>
                  <w:vAlign w:val="center"/>
                </w:tcPr>
                <w:p w14:paraId="03AC4CBF" w14:textId="77777777" w:rsidR="00676E42" w:rsidRPr="001E1BB2" w:rsidRDefault="00676E42" w:rsidP="00676E42">
                  <w:pPr>
                    <w:rPr>
                      <w:rFonts w:ascii="Arial" w:hAnsi="Arial" w:cs="Arial"/>
                      <w:b/>
                      <w:color w:val="0D0D0D"/>
                      <w:sz w:val="16"/>
                      <w:szCs w:val="16"/>
                    </w:rPr>
                  </w:pPr>
                  <w:r w:rsidRPr="001E1BB2">
                    <w:rPr>
                      <w:rFonts w:ascii="Arial" w:hAnsi="Arial" w:cs="Arial"/>
                      <w:b/>
                      <w:color w:val="0D0D0D"/>
                      <w:sz w:val="16"/>
                      <w:szCs w:val="16"/>
                    </w:rPr>
                    <w:t xml:space="preserve">Stan: osiągnięty - Niestety w dokumentacji projektu </w:t>
                  </w:r>
                  <w:proofErr w:type="spellStart"/>
                  <w:r w:rsidRPr="001E1BB2">
                    <w:rPr>
                      <w:rFonts w:ascii="Arial" w:hAnsi="Arial" w:cs="Arial"/>
                      <w:b/>
                      <w:color w:val="0D0D0D"/>
                      <w:sz w:val="16"/>
                      <w:szCs w:val="16"/>
                    </w:rPr>
                    <w:t>EpiBaza</w:t>
                  </w:r>
                  <w:proofErr w:type="spellEnd"/>
                  <w:r w:rsidRPr="001E1BB2">
                    <w:rPr>
                      <w:rFonts w:ascii="Arial" w:hAnsi="Arial" w:cs="Arial"/>
                      <w:b/>
                      <w:color w:val="0D0D0D"/>
                      <w:sz w:val="16"/>
                      <w:szCs w:val="16"/>
                    </w:rPr>
                    <w:t xml:space="preserve"> dwukrotnie został wpisany kamień milowy o nazwie „System Chorobowości Szpitalnej dostosowany i przetestowany”. Pozycja „System Chorobowości Szpitalnej dostosowany i Przetestowany” z kamieniem z datą 2019-04-29 dotyczy systemu „Rejestr Ognisk Epidemicznych” i powinien brzmieć „Rejestr Ognisk Epidemicznych dostosowany i przetestowany”. Kamień ten został osiągnięty poprzez wytworzenie API dostępowego do danych systemu „Rejestr Ognisk Epidemicznych” oraz poprzez jego implementację w systemie </w:t>
                  </w:r>
                  <w:proofErr w:type="spellStart"/>
                  <w:r w:rsidRPr="001E1BB2">
                    <w:rPr>
                      <w:rFonts w:ascii="Arial" w:hAnsi="Arial" w:cs="Arial"/>
                      <w:b/>
                      <w:color w:val="0D0D0D"/>
                      <w:sz w:val="16"/>
                      <w:szCs w:val="16"/>
                    </w:rPr>
                    <w:t>EpiBaza</w:t>
                  </w:r>
                  <w:proofErr w:type="spellEnd"/>
                  <w:r w:rsidRPr="001E1BB2">
                    <w:rPr>
                      <w:rFonts w:ascii="Arial" w:hAnsi="Arial" w:cs="Arial"/>
                      <w:b/>
                      <w:color w:val="0D0D0D"/>
                      <w:sz w:val="16"/>
                      <w:szCs w:val="16"/>
                    </w:rPr>
                    <w:t xml:space="preserve"> w części dotyczącej formularzy wywiadów epidemiologicznych. </w:t>
                  </w:r>
                </w:p>
                <w:p w14:paraId="0408F190"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Pierwsza wersja interfejsów została udostępniona Wykonawcy w dniu 16.01.2019, a zatem kamień został w pełni zrealizowany w zakładanym podstawowym terminie.</w:t>
                  </w:r>
                </w:p>
              </w:tc>
            </w:tr>
            <w:tr w:rsidR="001E1BB2" w:rsidRPr="001E1BB2" w14:paraId="18A599EB" w14:textId="77777777" w:rsidTr="001E1BB2">
              <w:tc>
                <w:tcPr>
                  <w:tcW w:w="1166" w:type="pct"/>
                  <w:vAlign w:val="center"/>
                </w:tcPr>
                <w:p w14:paraId="22FB2576" w14:textId="77777777" w:rsidR="00676E42" w:rsidRPr="001E1BB2" w:rsidRDefault="00676E42" w:rsidP="00676E42">
                  <w:pPr>
                    <w:rPr>
                      <w:rFonts w:ascii="Arial" w:hAnsi="Arial" w:cs="Arial"/>
                      <w:b/>
                      <w:color w:val="000000"/>
                      <w:sz w:val="16"/>
                      <w:szCs w:val="16"/>
                    </w:rPr>
                  </w:pPr>
                  <w:r w:rsidRPr="001E1BB2">
                    <w:rPr>
                      <w:rFonts w:ascii="Arial" w:hAnsi="Arial" w:cs="Arial"/>
                      <w:b/>
                      <w:color w:val="000000"/>
                      <w:sz w:val="16"/>
                      <w:szCs w:val="16"/>
                    </w:rPr>
                    <w:t>KM - System Wdrożony pilotażowo</w:t>
                  </w:r>
                </w:p>
              </w:tc>
              <w:tc>
                <w:tcPr>
                  <w:tcW w:w="720" w:type="pct"/>
                  <w:tcBorders>
                    <w:top w:val="single" w:sz="4" w:space="0" w:color="auto"/>
                    <w:left w:val="single" w:sz="4" w:space="0" w:color="auto"/>
                    <w:bottom w:val="single" w:sz="4" w:space="0" w:color="auto"/>
                    <w:right w:val="single" w:sz="4" w:space="0" w:color="auto"/>
                  </w:tcBorders>
                  <w:shd w:val="clear" w:color="auto" w:fill="auto"/>
                </w:tcPr>
                <w:p w14:paraId="17D8D538" w14:textId="77777777" w:rsidR="00676E42" w:rsidRPr="001E1BB2" w:rsidRDefault="00676E42" w:rsidP="00676E42">
                  <w:pPr>
                    <w:rPr>
                      <w:rFonts w:ascii="Arial" w:hAnsi="Arial" w:cs="Arial"/>
                      <w:b/>
                      <w:color w:val="0070C0"/>
                      <w:sz w:val="16"/>
                      <w:szCs w:val="16"/>
                    </w:rPr>
                  </w:pPr>
                  <w:r w:rsidRPr="001E1BB2">
                    <w:rPr>
                      <w:rFonts w:ascii="Arial" w:hAnsi="Arial" w:cs="Arial"/>
                      <w:b/>
                      <w:color w:val="000000"/>
                      <w:sz w:val="16"/>
                      <w:szCs w:val="16"/>
                    </w:rPr>
                    <w:t>5 – 2 szt.</w:t>
                  </w:r>
                </w:p>
              </w:tc>
              <w:tc>
                <w:tcPr>
                  <w:tcW w:w="757" w:type="pct"/>
                  <w:vAlign w:val="center"/>
                </w:tcPr>
                <w:p w14:paraId="74788568" w14:textId="77777777" w:rsidR="00676E42" w:rsidRPr="001E1BB2" w:rsidRDefault="00676E42" w:rsidP="00676E42">
                  <w:pPr>
                    <w:rPr>
                      <w:rFonts w:ascii="Arial" w:hAnsi="Arial" w:cs="Arial"/>
                      <w:b/>
                      <w:color w:val="0070C0"/>
                      <w:sz w:val="16"/>
                      <w:szCs w:val="16"/>
                      <w:lang w:eastAsia="pl-PL"/>
                    </w:rPr>
                  </w:pPr>
                  <w:r w:rsidRPr="001E1BB2">
                    <w:rPr>
                      <w:rFonts w:ascii="Arial" w:hAnsi="Arial" w:cs="Arial"/>
                      <w:b/>
                      <w:color w:val="000000"/>
                      <w:sz w:val="16"/>
                      <w:szCs w:val="16"/>
                    </w:rPr>
                    <w:t>01-2019</w:t>
                  </w:r>
                </w:p>
              </w:tc>
              <w:tc>
                <w:tcPr>
                  <w:tcW w:w="1012" w:type="pct"/>
                  <w:vAlign w:val="center"/>
                </w:tcPr>
                <w:p w14:paraId="4EA2CC3C" w14:textId="77777777" w:rsidR="00676E42" w:rsidRPr="001E1BB2" w:rsidRDefault="00676E42" w:rsidP="00676E42">
                  <w:pPr>
                    <w:pStyle w:val="Akapitzlist"/>
                    <w:ind w:left="7"/>
                    <w:jc w:val="center"/>
                    <w:rPr>
                      <w:rFonts w:ascii="Arial" w:hAnsi="Arial" w:cs="Arial"/>
                      <w:b/>
                      <w:color w:val="000000"/>
                      <w:sz w:val="16"/>
                      <w:szCs w:val="16"/>
                    </w:rPr>
                  </w:pPr>
                  <w:r w:rsidRPr="001E1BB2">
                    <w:rPr>
                      <w:rFonts w:ascii="Arial" w:hAnsi="Arial" w:cs="Arial"/>
                      <w:b/>
                      <w:color w:val="000000"/>
                      <w:sz w:val="16"/>
                      <w:szCs w:val="16"/>
                    </w:rPr>
                    <w:t>04-2019</w:t>
                  </w:r>
                </w:p>
              </w:tc>
              <w:tc>
                <w:tcPr>
                  <w:tcW w:w="1346" w:type="pct"/>
                  <w:vAlign w:val="center"/>
                </w:tcPr>
                <w:p w14:paraId="5681F189" w14:textId="77777777" w:rsidR="00676E42" w:rsidRPr="001E1BB2" w:rsidRDefault="00676E42" w:rsidP="00676E42">
                  <w:pPr>
                    <w:rPr>
                      <w:rFonts w:ascii="Arial" w:hAnsi="Arial" w:cs="Arial"/>
                      <w:b/>
                      <w:color w:val="0D0D0D"/>
                      <w:sz w:val="16"/>
                      <w:szCs w:val="16"/>
                    </w:rPr>
                  </w:pPr>
                  <w:r w:rsidRPr="001E1BB2">
                    <w:rPr>
                      <w:rFonts w:ascii="Arial" w:hAnsi="Arial" w:cs="Arial"/>
                      <w:b/>
                      <w:color w:val="0D0D0D"/>
                      <w:sz w:val="16"/>
                      <w:szCs w:val="16"/>
                    </w:rPr>
                    <w:t xml:space="preserve">Stan: osiągnięty - System został uruchomiony pilotażowo na serwerach Wykonawcy dnia 31.03.2019. Pilotaż z wykorzystaniem użytkowników wewnętrznych NIZP-PZH rozpoczął się 01.04.2019. Dodatkowo w celu przeprowadzenie pilotażu zewnętrznego system został zainstalowany i uruchomiony na serwerach NIZP-PZH w dniu 09.04.2019. Po 1,5 </w:t>
                  </w:r>
                  <w:r w:rsidRPr="001E1BB2">
                    <w:rPr>
                      <w:rFonts w:ascii="Arial" w:hAnsi="Arial" w:cs="Arial"/>
                      <w:b/>
                      <w:color w:val="0D0D0D"/>
                      <w:sz w:val="16"/>
                      <w:szCs w:val="16"/>
                    </w:rPr>
                    <w:lastRenderedPageBreak/>
                    <w:t xml:space="preserve">miesiąca pilotażu wewnętrznego, dnia 21.05.2019 rozpoczęła się druga faza pilotażu z dołączonymi docelowymi  użytkownikami systemu - pracownikami stacji PSSE oraz WSSE. </w:t>
                  </w:r>
                </w:p>
                <w:p w14:paraId="521C0982"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Planowanym punktem osiągnięcia kamienia „System Wdrożony pilotażowo” była data 2019-01-31, natomiast punktem krytycznym była data 2019-05-02. Za datę osiągnięcia tego kamienia milowego uznajemy datę rozpoczęcia pilotażu wewnętrznego, a zatem 01.04.2019.</w:t>
                  </w:r>
                </w:p>
              </w:tc>
            </w:tr>
            <w:tr w:rsidR="001E1BB2" w:rsidRPr="001E1BB2" w14:paraId="13B81FD9" w14:textId="77777777" w:rsidTr="001E1BB2">
              <w:tc>
                <w:tcPr>
                  <w:tcW w:w="1166" w:type="pct"/>
                  <w:vAlign w:val="center"/>
                </w:tcPr>
                <w:p w14:paraId="240E901C" w14:textId="77777777" w:rsidR="00676E42" w:rsidRPr="001E1BB2" w:rsidRDefault="00676E42" w:rsidP="00676E42">
                  <w:pPr>
                    <w:rPr>
                      <w:rFonts w:ascii="Arial" w:hAnsi="Arial" w:cs="Arial"/>
                      <w:b/>
                      <w:color w:val="000000"/>
                      <w:sz w:val="16"/>
                      <w:szCs w:val="16"/>
                    </w:rPr>
                  </w:pPr>
                  <w:r w:rsidRPr="001E1BB2">
                    <w:rPr>
                      <w:rFonts w:ascii="Arial" w:hAnsi="Arial" w:cs="Arial"/>
                      <w:b/>
                      <w:color w:val="000000"/>
                      <w:sz w:val="16"/>
                      <w:szCs w:val="16"/>
                    </w:rPr>
                    <w:lastRenderedPageBreak/>
                    <w:t>KM – Szkolenia zrealizowane</w:t>
                  </w:r>
                </w:p>
              </w:tc>
              <w:tc>
                <w:tcPr>
                  <w:tcW w:w="720" w:type="pct"/>
                  <w:tcBorders>
                    <w:top w:val="single" w:sz="4" w:space="0" w:color="auto"/>
                    <w:left w:val="single" w:sz="4" w:space="0" w:color="auto"/>
                    <w:bottom w:val="single" w:sz="4" w:space="0" w:color="auto"/>
                    <w:right w:val="single" w:sz="4" w:space="0" w:color="auto"/>
                  </w:tcBorders>
                  <w:shd w:val="clear" w:color="auto" w:fill="auto"/>
                </w:tcPr>
                <w:p w14:paraId="5DBB3D70" w14:textId="77777777" w:rsidR="00676E42" w:rsidRPr="001E1BB2" w:rsidRDefault="00676E42" w:rsidP="00676E42">
                  <w:pPr>
                    <w:rPr>
                      <w:rFonts w:ascii="Arial" w:hAnsi="Arial" w:cs="Arial"/>
                      <w:b/>
                      <w:color w:val="000000"/>
                      <w:sz w:val="16"/>
                      <w:szCs w:val="16"/>
                    </w:rPr>
                  </w:pPr>
                  <w:r w:rsidRPr="001E1BB2">
                    <w:rPr>
                      <w:rFonts w:ascii="Arial" w:hAnsi="Arial" w:cs="Arial"/>
                      <w:b/>
                      <w:color w:val="000000"/>
                      <w:sz w:val="16"/>
                      <w:szCs w:val="16"/>
                    </w:rPr>
                    <w:t>Nie dotyczy</w:t>
                  </w:r>
                </w:p>
              </w:tc>
              <w:tc>
                <w:tcPr>
                  <w:tcW w:w="757" w:type="pct"/>
                  <w:vAlign w:val="center"/>
                </w:tcPr>
                <w:p w14:paraId="7330E586" w14:textId="77777777" w:rsidR="00676E42" w:rsidRPr="001E1BB2" w:rsidRDefault="00676E42" w:rsidP="00676E42">
                  <w:pPr>
                    <w:rPr>
                      <w:rFonts w:ascii="Calibri" w:hAnsi="Calibri" w:cs="Calibri"/>
                      <w:b/>
                      <w:sz w:val="16"/>
                      <w:szCs w:val="16"/>
                    </w:rPr>
                  </w:pPr>
                  <w:r w:rsidRPr="001E1BB2">
                    <w:rPr>
                      <w:rFonts w:ascii="Arial" w:hAnsi="Arial" w:cs="Arial"/>
                      <w:b/>
                      <w:sz w:val="16"/>
                      <w:szCs w:val="16"/>
                    </w:rPr>
                    <w:t>07-2019</w:t>
                  </w:r>
                </w:p>
                <w:p w14:paraId="35E23ED7" w14:textId="77777777" w:rsidR="00676E42" w:rsidRPr="001E1BB2" w:rsidRDefault="00676E42" w:rsidP="00676E42">
                  <w:pPr>
                    <w:rPr>
                      <w:rFonts w:ascii="Arial" w:hAnsi="Arial" w:cs="Arial"/>
                      <w:b/>
                      <w:color w:val="000000"/>
                      <w:sz w:val="16"/>
                      <w:szCs w:val="16"/>
                    </w:rPr>
                  </w:pPr>
                </w:p>
              </w:tc>
              <w:tc>
                <w:tcPr>
                  <w:tcW w:w="1012" w:type="pct"/>
                  <w:vAlign w:val="center"/>
                </w:tcPr>
                <w:p w14:paraId="43918D01" w14:textId="77777777" w:rsidR="00676E42" w:rsidRPr="001E1BB2" w:rsidRDefault="00676E42" w:rsidP="00676E42">
                  <w:pPr>
                    <w:pStyle w:val="Akapitzlist"/>
                    <w:ind w:left="7"/>
                    <w:jc w:val="center"/>
                    <w:rPr>
                      <w:rFonts w:ascii="Arial" w:hAnsi="Arial" w:cs="Arial"/>
                      <w:b/>
                      <w:color w:val="000000"/>
                      <w:sz w:val="16"/>
                      <w:szCs w:val="16"/>
                    </w:rPr>
                  </w:pPr>
                  <w:r w:rsidRPr="001E1BB2">
                    <w:rPr>
                      <w:rFonts w:ascii="Arial" w:hAnsi="Arial" w:cs="Arial"/>
                      <w:b/>
                      <w:color w:val="000000"/>
                      <w:sz w:val="16"/>
                      <w:szCs w:val="16"/>
                    </w:rPr>
                    <w:t>07-2019</w:t>
                  </w:r>
                </w:p>
              </w:tc>
              <w:tc>
                <w:tcPr>
                  <w:tcW w:w="1346" w:type="pct"/>
                  <w:vAlign w:val="center"/>
                </w:tcPr>
                <w:p w14:paraId="41DB4378" w14:textId="77777777" w:rsidR="00676E42" w:rsidRPr="001E1BB2" w:rsidRDefault="00676E42" w:rsidP="00676E42">
                  <w:pPr>
                    <w:rPr>
                      <w:rFonts w:ascii="Arial" w:hAnsi="Arial" w:cs="Arial"/>
                      <w:b/>
                      <w:color w:val="0D0D0D"/>
                      <w:sz w:val="16"/>
                      <w:szCs w:val="16"/>
                    </w:rPr>
                  </w:pPr>
                  <w:r w:rsidRPr="001E1BB2">
                    <w:rPr>
                      <w:rFonts w:ascii="Arial" w:hAnsi="Arial" w:cs="Arial"/>
                      <w:b/>
                      <w:color w:val="0D0D0D"/>
                      <w:sz w:val="16"/>
                      <w:szCs w:val="16"/>
                    </w:rPr>
                    <w:t>Stan: osiągnięty</w:t>
                  </w:r>
                </w:p>
              </w:tc>
            </w:tr>
          </w:tbl>
          <w:p w14:paraId="19AA85BA" w14:textId="77777777" w:rsidR="00525DCF" w:rsidRPr="002450C4" w:rsidRDefault="00525DCF" w:rsidP="009745BB">
            <w:pPr>
              <w:jc w:val="both"/>
              <w:rPr>
                <w:i/>
                <w:sz w:val="18"/>
                <w:szCs w:val="20"/>
              </w:rPr>
            </w:pPr>
          </w:p>
        </w:tc>
      </w:tr>
      <w:tr w:rsidR="00525DCF" w:rsidRPr="002450C4" w14:paraId="00F67524" w14:textId="77777777" w:rsidTr="00D70D9B">
        <w:tc>
          <w:tcPr>
            <w:tcW w:w="568" w:type="dxa"/>
          </w:tcPr>
          <w:p w14:paraId="44E52FB4" w14:textId="77777777" w:rsidR="00525DCF" w:rsidRPr="002450C4" w:rsidRDefault="00525DCF" w:rsidP="00EB22EF">
            <w:pPr>
              <w:pStyle w:val="Akapitzlist"/>
              <w:numPr>
                <w:ilvl w:val="0"/>
                <w:numId w:val="1"/>
              </w:numPr>
              <w:rPr>
                <w:sz w:val="18"/>
                <w:szCs w:val="20"/>
              </w:rPr>
            </w:pPr>
          </w:p>
        </w:tc>
        <w:tc>
          <w:tcPr>
            <w:tcW w:w="1525" w:type="dxa"/>
          </w:tcPr>
          <w:p w14:paraId="2763E854" w14:textId="77777777" w:rsidR="00525DCF" w:rsidRDefault="00525DCF" w:rsidP="00EB22EF">
            <w:pPr>
              <w:rPr>
                <w:sz w:val="18"/>
                <w:szCs w:val="20"/>
              </w:rPr>
            </w:pPr>
            <w:r>
              <w:rPr>
                <w:sz w:val="18"/>
                <w:szCs w:val="20"/>
              </w:rPr>
              <w:t>E-usługi dla obywateli i przedsiębiorców</w:t>
            </w:r>
          </w:p>
        </w:tc>
        <w:tc>
          <w:tcPr>
            <w:tcW w:w="7390" w:type="dxa"/>
          </w:tcPr>
          <w:p w14:paraId="3ED4B37C" w14:textId="77777777" w:rsidR="00525DCF" w:rsidRPr="001E1BB2" w:rsidRDefault="00187A71" w:rsidP="00EB22EF">
            <w:pPr>
              <w:rPr>
                <w:b/>
                <w:bCs/>
                <w:i/>
                <w:sz w:val="18"/>
                <w:szCs w:val="20"/>
              </w:rPr>
            </w:pPr>
            <w:r w:rsidRPr="001E1BB2">
              <w:rPr>
                <w:b/>
                <w:bCs/>
                <w:i/>
                <w:sz w:val="18"/>
                <w:szCs w:val="20"/>
              </w:rPr>
              <w:t>Nie dotyczy</w:t>
            </w:r>
          </w:p>
        </w:tc>
      </w:tr>
      <w:tr w:rsidR="00525DCF" w:rsidRPr="002450C4" w14:paraId="14AC9C87" w14:textId="77777777" w:rsidTr="00D70D9B">
        <w:tc>
          <w:tcPr>
            <w:tcW w:w="568" w:type="dxa"/>
          </w:tcPr>
          <w:p w14:paraId="09F8986F" w14:textId="77777777" w:rsidR="00525DCF" w:rsidRPr="002450C4" w:rsidRDefault="00525DCF" w:rsidP="00EB22EF">
            <w:pPr>
              <w:pStyle w:val="Akapitzlist"/>
              <w:numPr>
                <w:ilvl w:val="0"/>
                <w:numId w:val="1"/>
              </w:numPr>
              <w:rPr>
                <w:sz w:val="18"/>
                <w:szCs w:val="20"/>
              </w:rPr>
            </w:pPr>
          </w:p>
        </w:tc>
        <w:tc>
          <w:tcPr>
            <w:tcW w:w="1525" w:type="dxa"/>
          </w:tcPr>
          <w:p w14:paraId="20FC9033" w14:textId="77777777" w:rsidR="00525DCF" w:rsidRPr="002450C4" w:rsidRDefault="00525DCF" w:rsidP="00EB22EF">
            <w:pPr>
              <w:rPr>
                <w:sz w:val="18"/>
                <w:szCs w:val="20"/>
              </w:rPr>
            </w:pPr>
            <w:r>
              <w:rPr>
                <w:sz w:val="18"/>
                <w:szCs w:val="20"/>
              </w:rPr>
              <w:t>Postęp w realizacji strategicznych celów Państwa</w:t>
            </w:r>
          </w:p>
        </w:tc>
        <w:tc>
          <w:tcPr>
            <w:tcW w:w="7390" w:type="dxa"/>
          </w:tcPr>
          <w:p w14:paraId="1434CA83" w14:textId="77777777" w:rsidR="002615D2" w:rsidRPr="008E56A8" w:rsidRDefault="00B7338D" w:rsidP="00EB22EF">
            <w:pPr>
              <w:jc w:val="both"/>
              <w:rPr>
                <w:b/>
                <w:i/>
                <w:sz w:val="18"/>
                <w:szCs w:val="20"/>
              </w:rPr>
            </w:pPr>
            <w:r w:rsidRPr="008E56A8">
              <w:rPr>
                <w:b/>
                <w:i/>
                <w:sz w:val="18"/>
                <w:szCs w:val="20"/>
              </w:rPr>
              <w:t xml:space="preserve">Budowa Systemu wspiera założenia kierunku Dostępność informacji sektora publicznego do ponownego wykorzystania. Dane zgromadzone i udostępniane on – </w:t>
            </w:r>
            <w:proofErr w:type="spellStart"/>
            <w:r w:rsidRPr="008E56A8">
              <w:rPr>
                <w:b/>
                <w:i/>
                <w:sz w:val="18"/>
                <w:szCs w:val="20"/>
              </w:rPr>
              <w:t>line</w:t>
            </w:r>
            <w:proofErr w:type="spellEnd"/>
            <w:r w:rsidRPr="008E56A8">
              <w:rPr>
                <w:b/>
                <w:i/>
                <w:sz w:val="18"/>
                <w:szCs w:val="20"/>
              </w:rPr>
              <w:t xml:space="preserve"> poprzez system elektroniczny </w:t>
            </w:r>
            <w:r w:rsidR="007E12A0" w:rsidRPr="008E56A8">
              <w:rPr>
                <w:b/>
                <w:i/>
                <w:sz w:val="18"/>
                <w:szCs w:val="20"/>
              </w:rPr>
              <w:t xml:space="preserve">są </w:t>
            </w:r>
            <w:r w:rsidRPr="008E56A8">
              <w:rPr>
                <w:b/>
                <w:i/>
                <w:sz w:val="18"/>
                <w:szCs w:val="20"/>
              </w:rPr>
              <w:t xml:space="preserve">zgromadzone i udostępnione w oparciu o standardy gwarantujące przydatność i możliwość ich ponownego wykorzystania, w tym także zapewniona </w:t>
            </w:r>
            <w:r w:rsidR="007E12A0" w:rsidRPr="008E56A8">
              <w:rPr>
                <w:b/>
                <w:i/>
                <w:sz w:val="18"/>
                <w:szCs w:val="20"/>
              </w:rPr>
              <w:t xml:space="preserve">jest </w:t>
            </w:r>
            <w:r w:rsidRPr="008E56A8">
              <w:rPr>
                <w:b/>
                <w:i/>
                <w:sz w:val="18"/>
                <w:szCs w:val="20"/>
              </w:rPr>
              <w:t xml:space="preserve"> dostępność zawartych treści dla osób z niepełnosprawnościami. Udostępnione dane i informacje </w:t>
            </w:r>
            <w:r w:rsidR="007E12A0" w:rsidRPr="008E56A8">
              <w:rPr>
                <w:b/>
                <w:i/>
                <w:sz w:val="18"/>
                <w:szCs w:val="20"/>
              </w:rPr>
              <w:t>służą</w:t>
            </w:r>
            <w:r w:rsidRPr="008E56A8">
              <w:rPr>
                <w:b/>
                <w:i/>
                <w:sz w:val="18"/>
                <w:szCs w:val="20"/>
              </w:rPr>
              <w:t xml:space="preserve"> m.in. rozwojowi nauki (m.in. dostęp do danych źródłowych z zakresu epidemiologii chorób zakaźnych oraz bezpieczeństwa żywności), wpły</w:t>
            </w:r>
            <w:r w:rsidR="007E12A0" w:rsidRPr="008E56A8">
              <w:rPr>
                <w:b/>
                <w:i/>
                <w:sz w:val="18"/>
                <w:szCs w:val="20"/>
              </w:rPr>
              <w:t>wają</w:t>
            </w:r>
            <w:r w:rsidRPr="008E56A8">
              <w:rPr>
                <w:b/>
                <w:i/>
                <w:sz w:val="18"/>
                <w:szCs w:val="20"/>
              </w:rPr>
              <w:t xml:space="preserve"> na rozwój społeczny oraz integrację a pośrednio wpły</w:t>
            </w:r>
            <w:r w:rsidR="007E12A0" w:rsidRPr="008E56A8">
              <w:rPr>
                <w:b/>
                <w:i/>
                <w:sz w:val="18"/>
                <w:szCs w:val="20"/>
              </w:rPr>
              <w:t>wają</w:t>
            </w:r>
            <w:r w:rsidRPr="008E56A8">
              <w:rPr>
                <w:b/>
                <w:i/>
                <w:sz w:val="18"/>
                <w:szCs w:val="20"/>
              </w:rPr>
              <w:t xml:space="preserve"> także na poprawę sytuacji </w:t>
            </w:r>
            <w:proofErr w:type="spellStart"/>
            <w:r w:rsidRPr="008E56A8">
              <w:rPr>
                <w:b/>
                <w:i/>
                <w:sz w:val="18"/>
                <w:szCs w:val="20"/>
              </w:rPr>
              <w:t>społeczno</w:t>
            </w:r>
            <w:proofErr w:type="spellEnd"/>
            <w:r w:rsidRPr="008E56A8">
              <w:rPr>
                <w:b/>
                <w:i/>
                <w:sz w:val="18"/>
                <w:szCs w:val="20"/>
              </w:rPr>
              <w:t xml:space="preserve"> – gospodarczej w wybranych dziedzinach.</w:t>
            </w:r>
            <w:r w:rsidR="007E12A0" w:rsidRPr="008E56A8">
              <w:rPr>
                <w:b/>
                <w:i/>
                <w:sz w:val="18"/>
                <w:szCs w:val="20"/>
              </w:rPr>
              <w:t xml:space="preserve"> </w:t>
            </w:r>
          </w:p>
          <w:p w14:paraId="4849B47B" w14:textId="77777777" w:rsidR="008E56A8" w:rsidRPr="008E56A8" w:rsidRDefault="008E56A8" w:rsidP="008E56A8">
            <w:pPr>
              <w:jc w:val="both"/>
              <w:rPr>
                <w:b/>
                <w:i/>
                <w:sz w:val="18"/>
                <w:szCs w:val="20"/>
              </w:rPr>
            </w:pPr>
            <w:r w:rsidRPr="008E56A8">
              <w:rPr>
                <w:b/>
                <w:i/>
                <w:sz w:val="18"/>
                <w:szCs w:val="20"/>
              </w:rPr>
              <w:t>Funkcjonalności wybudowanego Systemu są zgodne z celami Strategii Sprawne Państwo a w szczególności:</w:t>
            </w:r>
          </w:p>
          <w:p w14:paraId="4E9DAD4F" w14:textId="77777777" w:rsidR="008E56A8" w:rsidRPr="008E56A8" w:rsidRDefault="008E56A8" w:rsidP="008E56A8">
            <w:pPr>
              <w:jc w:val="both"/>
              <w:rPr>
                <w:b/>
                <w:i/>
                <w:sz w:val="18"/>
                <w:szCs w:val="20"/>
              </w:rPr>
            </w:pPr>
            <w:r w:rsidRPr="008E56A8">
              <w:rPr>
                <w:b/>
                <w:i/>
                <w:sz w:val="18"/>
                <w:szCs w:val="20"/>
              </w:rPr>
              <w:t>1) Celem 1: Otwarty rząd, kierunek interwencji 1.1.Otwarcie zasobów sektora publicznego, który zakłada „wprowadzenie zasady pełnego i otwartego dostępu oraz możliwości ponownego wykorzystywania informacji publicznej”. Działania zmierzające do stworzenia oraz powszechnego udostępnienia bazy danych systemu nadzoru epidemiologicznego oraz bezpieczeństwa żywności (w tym udostępnienie danych do ponownego wykorzystania z wykorzystaniem otwartego API) realizują ten postulat.</w:t>
            </w:r>
          </w:p>
          <w:p w14:paraId="120E90F6" w14:textId="77777777" w:rsidR="008E56A8" w:rsidRPr="008E56A8" w:rsidRDefault="008E56A8" w:rsidP="008E56A8">
            <w:pPr>
              <w:jc w:val="both"/>
              <w:rPr>
                <w:b/>
                <w:i/>
                <w:sz w:val="18"/>
                <w:szCs w:val="20"/>
              </w:rPr>
            </w:pPr>
            <w:r w:rsidRPr="008E56A8">
              <w:rPr>
                <w:b/>
                <w:i/>
                <w:sz w:val="18"/>
                <w:szCs w:val="20"/>
              </w:rPr>
              <w:t>2) Celem 2 Zwiększenie sprawności instytucjonalnej Państwa, kierunek interwencji Efektywne i funkcjonalne urzędu administracji publicznej, w którym przewiduje się szerokie wykorzystanie nowoczesnych technologii cyfrowych. Wśród niezbędnych działań należy wymienić usprawnienie koordynacji i przepływu informacji między urzędami administracji centralnej i wojewódzkiej w oparciu o technologie cyfrowe. Dla podniesienia efektywności urzędów administracji publicznej zasadniczym elementem będzie także jak najszersze odchodzenie od przetwarzania dokumentów papierowych oraz upowszechnianie systemów elektronicznego zarządzania dokumentacją. Zapewniona  będzie dostępność do treści i usług publicznych, także wobec osób niepełnosprawnych.</w:t>
            </w:r>
          </w:p>
          <w:p w14:paraId="53DBD800" w14:textId="77777777" w:rsidR="008E56A8" w:rsidRPr="008E56A8" w:rsidRDefault="008E56A8" w:rsidP="008E56A8">
            <w:pPr>
              <w:jc w:val="both"/>
              <w:rPr>
                <w:b/>
                <w:i/>
                <w:sz w:val="18"/>
                <w:szCs w:val="20"/>
              </w:rPr>
            </w:pPr>
            <w:r w:rsidRPr="008E56A8">
              <w:rPr>
                <w:b/>
                <w:i/>
                <w:sz w:val="18"/>
                <w:szCs w:val="20"/>
              </w:rPr>
              <w:t xml:space="preserve">3) Celem 5 Poprawa jakości i dostępności do usług publicznych, kierunek interwencji 5.1 Efektywny system ochrony zdrowia, związany bezpośrednio ze zmianami demograficzno-epidemiologicznymi oraz coraz szybszym postępem technologicznym w medycynie. W ramach tego kierunku Strategii planuje się m.in. poprawę infrastruktury instytutów badawczych. W celu zwiększenia dostępności do świadczeń zdrowotnych nastąpiła poprawa dostępności do systemu gromadzenia i zarządzania informacją m.in. poprzez </w:t>
            </w:r>
            <w:proofErr w:type="spellStart"/>
            <w:r w:rsidRPr="008E56A8">
              <w:rPr>
                <w:b/>
                <w:i/>
                <w:sz w:val="18"/>
                <w:szCs w:val="20"/>
              </w:rPr>
              <w:t>poprzez</w:t>
            </w:r>
            <w:proofErr w:type="spellEnd"/>
            <w:r w:rsidRPr="008E56A8">
              <w:rPr>
                <w:b/>
                <w:i/>
                <w:sz w:val="18"/>
                <w:szCs w:val="20"/>
              </w:rPr>
              <w:t xml:space="preserve"> stworzenie warunków informacyjnych umożliwiających podejmowanie optymalnych decyzji w zakresie polityki zdrowotnej oraz stworzenie stabilnego systemu informacji, charakteryzującego się elastycznym podejściem do organizacji systemu zasobów ochrony zdrowia i odpornością na zaburzenia w gromadzeniu i archiwizacji danych, spowodowane zmianami systemowymi w ochronie zdrowia. Stworzony System w bezpośredni sposób przełożył się na osiągniecie celu jakim jest zwiększenie bezpieczeństwa pacjentów i wzmocnienie nadzoru epidemiologicznego nad chorobami zakaźnymi.</w:t>
            </w:r>
          </w:p>
          <w:p w14:paraId="33FA5F67" w14:textId="77777777" w:rsidR="002615D2" w:rsidRPr="008E56A8" w:rsidRDefault="002615D2" w:rsidP="00EB22EF">
            <w:pPr>
              <w:jc w:val="both"/>
              <w:rPr>
                <w:b/>
                <w:i/>
                <w:sz w:val="18"/>
                <w:szCs w:val="20"/>
              </w:rPr>
            </w:pPr>
            <w:r w:rsidRPr="008E56A8">
              <w:rPr>
                <w:b/>
                <w:i/>
                <w:sz w:val="18"/>
                <w:szCs w:val="20"/>
              </w:rPr>
              <w:t>Poniżej osiągnięte wskaźniki efektywności projektu:</w:t>
            </w:r>
          </w:p>
          <w:p w14:paraId="272ABF5F" w14:textId="77777777" w:rsidR="002615D2" w:rsidRPr="008E56A8" w:rsidRDefault="002615D2" w:rsidP="00EB22EF">
            <w:pPr>
              <w:jc w:val="both"/>
              <w:rPr>
                <w:b/>
                <w:i/>
                <w:sz w:val="18"/>
                <w:szCs w:val="20"/>
              </w:rPr>
            </w:pPr>
          </w:p>
          <w:tbl>
            <w:tblPr>
              <w:tblStyle w:val="Tabela-Siatka"/>
              <w:tblW w:w="5000" w:type="pct"/>
              <w:tblLook w:val="04A0" w:firstRow="1" w:lastRow="0" w:firstColumn="1" w:lastColumn="0" w:noHBand="0" w:noVBand="1"/>
              <w:tblCaption w:val="Wskaźniki efektywności projektu (KPI)."/>
            </w:tblPr>
            <w:tblGrid>
              <w:gridCol w:w="1905"/>
              <w:gridCol w:w="956"/>
              <w:gridCol w:w="1378"/>
              <w:gridCol w:w="1273"/>
              <w:gridCol w:w="1697"/>
            </w:tblGrid>
            <w:tr w:rsidR="002615D2" w:rsidRPr="008E56A8" w14:paraId="09F31E0D" w14:textId="77777777" w:rsidTr="002615D2">
              <w:trPr>
                <w:tblHeader/>
              </w:trPr>
              <w:tc>
                <w:tcPr>
                  <w:tcW w:w="1321" w:type="pct"/>
                  <w:shd w:val="clear" w:color="auto" w:fill="D0CECE" w:themeFill="background2" w:themeFillShade="E6"/>
                  <w:vAlign w:val="center"/>
                </w:tcPr>
                <w:p w14:paraId="2DFC67E5" w14:textId="77777777" w:rsidR="002615D2" w:rsidRPr="008E56A8" w:rsidRDefault="002615D2" w:rsidP="002615D2">
                  <w:pPr>
                    <w:rPr>
                      <w:b/>
                      <w:i/>
                      <w:sz w:val="18"/>
                      <w:szCs w:val="20"/>
                    </w:rPr>
                  </w:pPr>
                  <w:r w:rsidRPr="008E56A8">
                    <w:rPr>
                      <w:b/>
                      <w:i/>
                      <w:sz w:val="18"/>
                      <w:szCs w:val="20"/>
                    </w:rPr>
                    <w:lastRenderedPageBreak/>
                    <w:t>Nazwa</w:t>
                  </w:r>
                </w:p>
              </w:tc>
              <w:tc>
                <w:tcPr>
                  <w:tcW w:w="663" w:type="pct"/>
                  <w:shd w:val="clear" w:color="auto" w:fill="D0CECE" w:themeFill="background2" w:themeFillShade="E6"/>
                  <w:vAlign w:val="center"/>
                </w:tcPr>
                <w:p w14:paraId="472A8180" w14:textId="77777777" w:rsidR="002615D2" w:rsidRPr="008E56A8" w:rsidRDefault="002615D2" w:rsidP="002615D2">
                  <w:pPr>
                    <w:rPr>
                      <w:b/>
                      <w:i/>
                      <w:sz w:val="18"/>
                      <w:szCs w:val="20"/>
                    </w:rPr>
                  </w:pPr>
                  <w:r w:rsidRPr="008E56A8">
                    <w:rPr>
                      <w:b/>
                      <w:i/>
                      <w:sz w:val="18"/>
                      <w:szCs w:val="20"/>
                    </w:rPr>
                    <w:t>Jedn. miary</w:t>
                  </w:r>
                </w:p>
              </w:tc>
              <w:tc>
                <w:tcPr>
                  <w:tcW w:w="956" w:type="pct"/>
                  <w:shd w:val="clear" w:color="auto" w:fill="D0CECE" w:themeFill="background2" w:themeFillShade="E6"/>
                  <w:vAlign w:val="center"/>
                </w:tcPr>
                <w:p w14:paraId="44B6E603" w14:textId="77777777" w:rsidR="002615D2" w:rsidRPr="008E56A8" w:rsidRDefault="002615D2" w:rsidP="002615D2">
                  <w:pPr>
                    <w:rPr>
                      <w:b/>
                      <w:i/>
                      <w:sz w:val="18"/>
                      <w:szCs w:val="20"/>
                    </w:rPr>
                  </w:pPr>
                  <w:r w:rsidRPr="008E56A8">
                    <w:rPr>
                      <w:b/>
                      <w:i/>
                      <w:sz w:val="18"/>
                      <w:szCs w:val="20"/>
                    </w:rPr>
                    <w:t xml:space="preserve">Wartość </w:t>
                  </w:r>
                </w:p>
                <w:p w14:paraId="37A2EB1D" w14:textId="77777777" w:rsidR="002615D2" w:rsidRPr="008E56A8" w:rsidRDefault="002615D2" w:rsidP="002615D2">
                  <w:pPr>
                    <w:rPr>
                      <w:b/>
                      <w:i/>
                      <w:sz w:val="18"/>
                      <w:szCs w:val="20"/>
                    </w:rPr>
                  </w:pPr>
                  <w:r w:rsidRPr="008E56A8">
                    <w:rPr>
                      <w:b/>
                      <w:i/>
                      <w:sz w:val="18"/>
                      <w:szCs w:val="20"/>
                    </w:rPr>
                    <w:t>docelowa</w:t>
                  </w:r>
                </w:p>
              </w:tc>
              <w:tc>
                <w:tcPr>
                  <w:tcW w:w="883" w:type="pct"/>
                  <w:shd w:val="clear" w:color="auto" w:fill="D0CECE" w:themeFill="background2" w:themeFillShade="E6"/>
                  <w:vAlign w:val="center"/>
                </w:tcPr>
                <w:p w14:paraId="00229234" w14:textId="77777777" w:rsidR="002615D2" w:rsidRPr="008E56A8" w:rsidRDefault="002615D2" w:rsidP="002615D2">
                  <w:pPr>
                    <w:rPr>
                      <w:b/>
                      <w:i/>
                      <w:sz w:val="18"/>
                      <w:szCs w:val="20"/>
                    </w:rPr>
                  </w:pPr>
                  <w:r w:rsidRPr="008E56A8">
                    <w:rPr>
                      <w:b/>
                      <w:i/>
                      <w:sz w:val="18"/>
                      <w:szCs w:val="20"/>
                    </w:rPr>
                    <w:t>Planowany termin osiągnięcia</w:t>
                  </w:r>
                </w:p>
              </w:tc>
              <w:tc>
                <w:tcPr>
                  <w:tcW w:w="1177" w:type="pct"/>
                  <w:shd w:val="clear" w:color="auto" w:fill="D0CECE" w:themeFill="background2" w:themeFillShade="E6"/>
                  <w:vAlign w:val="center"/>
                </w:tcPr>
                <w:p w14:paraId="494F8020" w14:textId="77777777" w:rsidR="002615D2" w:rsidRPr="008E56A8" w:rsidRDefault="002615D2" w:rsidP="002615D2">
                  <w:pPr>
                    <w:rPr>
                      <w:b/>
                      <w:i/>
                      <w:sz w:val="18"/>
                      <w:szCs w:val="20"/>
                    </w:rPr>
                  </w:pPr>
                  <w:r w:rsidRPr="008E56A8">
                    <w:rPr>
                      <w:b/>
                      <w:i/>
                      <w:sz w:val="18"/>
                      <w:szCs w:val="20"/>
                    </w:rPr>
                    <w:t>Wartość osiągnięta od początku realizacji projektu (narastająco)</w:t>
                  </w:r>
                </w:p>
              </w:tc>
            </w:tr>
            <w:tr w:rsidR="002615D2" w:rsidRPr="008E56A8" w14:paraId="46723770" w14:textId="77777777" w:rsidTr="002615D2">
              <w:tc>
                <w:tcPr>
                  <w:tcW w:w="1321" w:type="pct"/>
                </w:tcPr>
                <w:p w14:paraId="4ED49317" w14:textId="77777777" w:rsidR="002615D2" w:rsidRPr="008E56A8" w:rsidRDefault="002615D2" w:rsidP="002615D2">
                  <w:pPr>
                    <w:autoSpaceDE w:val="0"/>
                    <w:autoSpaceDN w:val="0"/>
                    <w:adjustRightInd w:val="0"/>
                    <w:rPr>
                      <w:b/>
                      <w:i/>
                      <w:sz w:val="18"/>
                      <w:szCs w:val="20"/>
                    </w:rPr>
                  </w:pPr>
                  <w:r w:rsidRPr="008E56A8">
                    <w:rPr>
                      <w:b/>
                      <w:i/>
                      <w:sz w:val="18"/>
                      <w:szCs w:val="20"/>
                    </w:rPr>
                    <w:t>Liczba podmiotów, które udostępniły on-line informacje sektora</w:t>
                  </w:r>
                </w:p>
                <w:p w14:paraId="4C1BC64D" w14:textId="77777777" w:rsidR="002615D2" w:rsidRPr="008E56A8" w:rsidRDefault="002615D2" w:rsidP="002615D2">
                  <w:pPr>
                    <w:rPr>
                      <w:b/>
                      <w:i/>
                      <w:sz w:val="18"/>
                      <w:szCs w:val="20"/>
                    </w:rPr>
                  </w:pPr>
                  <w:r w:rsidRPr="008E56A8">
                    <w:rPr>
                      <w:b/>
                      <w:i/>
                      <w:sz w:val="18"/>
                      <w:szCs w:val="20"/>
                    </w:rPr>
                    <w:t xml:space="preserve">publicznego </w:t>
                  </w:r>
                </w:p>
              </w:tc>
              <w:tc>
                <w:tcPr>
                  <w:tcW w:w="663" w:type="pct"/>
                </w:tcPr>
                <w:p w14:paraId="609355DB" w14:textId="77777777" w:rsidR="002615D2" w:rsidRPr="008E56A8" w:rsidRDefault="002615D2" w:rsidP="002615D2">
                  <w:pPr>
                    <w:rPr>
                      <w:b/>
                      <w:i/>
                      <w:sz w:val="18"/>
                      <w:szCs w:val="20"/>
                    </w:rPr>
                  </w:pPr>
                  <w:r w:rsidRPr="008E56A8">
                    <w:rPr>
                      <w:b/>
                      <w:i/>
                      <w:sz w:val="18"/>
                      <w:szCs w:val="20"/>
                    </w:rPr>
                    <w:t>[szt.]</w:t>
                  </w:r>
                </w:p>
              </w:tc>
              <w:tc>
                <w:tcPr>
                  <w:tcW w:w="956" w:type="pct"/>
                </w:tcPr>
                <w:p w14:paraId="0F51A341" w14:textId="77777777" w:rsidR="002615D2" w:rsidRPr="008E56A8" w:rsidRDefault="002615D2" w:rsidP="002615D2">
                  <w:pPr>
                    <w:rPr>
                      <w:b/>
                      <w:i/>
                      <w:sz w:val="18"/>
                      <w:szCs w:val="20"/>
                    </w:rPr>
                  </w:pPr>
                  <w:r w:rsidRPr="008E56A8">
                    <w:rPr>
                      <w:b/>
                      <w:i/>
                      <w:sz w:val="18"/>
                      <w:szCs w:val="20"/>
                    </w:rPr>
                    <w:t>1,00</w:t>
                  </w:r>
                </w:p>
              </w:tc>
              <w:tc>
                <w:tcPr>
                  <w:tcW w:w="883" w:type="pct"/>
                </w:tcPr>
                <w:p w14:paraId="49F0AF48" w14:textId="77777777" w:rsidR="002615D2" w:rsidRPr="008E56A8" w:rsidRDefault="002615D2" w:rsidP="002615D2">
                  <w:pPr>
                    <w:rPr>
                      <w:b/>
                      <w:i/>
                      <w:sz w:val="18"/>
                      <w:szCs w:val="20"/>
                    </w:rPr>
                  </w:pPr>
                  <w:r w:rsidRPr="008E56A8">
                    <w:rPr>
                      <w:b/>
                      <w:i/>
                      <w:sz w:val="18"/>
                      <w:szCs w:val="20"/>
                    </w:rPr>
                    <w:t>07-2019</w:t>
                  </w:r>
                </w:p>
              </w:tc>
              <w:tc>
                <w:tcPr>
                  <w:tcW w:w="1177" w:type="pct"/>
                </w:tcPr>
                <w:p w14:paraId="31813F9D" w14:textId="77777777" w:rsidR="002615D2" w:rsidRPr="008E56A8" w:rsidRDefault="002615D2" w:rsidP="002615D2">
                  <w:pPr>
                    <w:rPr>
                      <w:b/>
                      <w:i/>
                      <w:sz w:val="18"/>
                      <w:szCs w:val="20"/>
                    </w:rPr>
                  </w:pPr>
                  <w:r w:rsidRPr="008E56A8">
                    <w:rPr>
                      <w:b/>
                      <w:i/>
                      <w:sz w:val="18"/>
                      <w:szCs w:val="20"/>
                    </w:rPr>
                    <w:t>1</w:t>
                  </w:r>
                </w:p>
              </w:tc>
            </w:tr>
            <w:tr w:rsidR="002615D2" w:rsidRPr="008E56A8" w14:paraId="0817BD8D" w14:textId="77777777" w:rsidTr="002615D2">
              <w:tc>
                <w:tcPr>
                  <w:tcW w:w="1321" w:type="pct"/>
                </w:tcPr>
                <w:p w14:paraId="26C58F84" w14:textId="77777777" w:rsidR="002615D2" w:rsidRPr="008E56A8" w:rsidRDefault="002615D2" w:rsidP="002615D2">
                  <w:pPr>
                    <w:autoSpaceDE w:val="0"/>
                    <w:autoSpaceDN w:val="0"/>
                    <w:adjustRightInd w:val="0"/>
                    <w:rPr>
                      <w:b/>
                      <w:i/>
                      <w:sz w:val="18"/>
                      <w:szCs w:val="20"/>
                    </w:rPr>
                  </w:pPr>
                  <w:r w:rsidRPr="008E56A8">
                    <w:rPr>
                      <w:b/>
                      <w:i/>
                      <w:sz w:val="18"/>
                      <w:szCs w:val="20"/>
                    </w:rPr>
                    <w:t xml:space="preserve">Liczba </w:t>
                  </w:r>
                  <w:proofErr w:type="spellStart"/>
                  <w:r w:rsidRPr="008E56A8">
                    <w:rPr>
                      <w:b/>
                      <w:i/>
                      <w:sz w:val="18"/>
                      <w:szCs w:val="20"/>
                    </w:rPr>
                    <w:t>zdigitalizowanych</w:t>
                  </w:r>
                  <w:proofErr w:type="spellEnd"/>
                  <w:r w:rsidRPr="008E56A8">
                    <w:rPr>
                      <w:b/>
                      <w:i/>
                      <w:sz w:val="18"/>
                      <w:szCs w:val="20"/>
                    </w:rPr>
                    <w:t xml:space="preserve"> dokumentów zawierających informacje</w:t>
                  </w:r>
                </w:p>
                <w:p w14:paraId="041F8DE7" w14:textId="77777777" w:rsidR="002615D2" w:rsidRPr="008E56A8" w:rsidRDefault="002615D2" w:rsidP="002615D2">
                  <w:pPr>
                    <w:autoSpaceDE w:val="0"/>
                    <w:autoSpaceDN w:val="0"/>
                    <w:adjustRightInd w:val="0"/>
                    <w:rPr>
                      <w:b/>
                      <w:i/>
                      <w:sz w:val="18"/>
                      <w:szCs w:val="20"/>
                    </w:rPr>
                  </w:pPr>
                  <w:r w:rsidRPr="008E56A8">
                    <w:rPr>
                      <w:b/>
                      <w:i/>
                      <w:sz w:val="18"/>
                      <w:szCs w:val="20"/>
                    </w:rPr>
                    <w:t>sektora publicznego</w:t>
                  </w:r>
                </w:p>
              </w:tc>
              <w:tc>
                <w:tcPr>
                  <w:tcW w:w="663" w:type="pct"/>
                </w:tcPr>
                <w:p w14:paraId="49938D51" w14:textId="77777777" w:rsidR="002615D2" w:rsidRPr="008E56A8" w:rsidRDefault="002615D2" w:rsidP="002615D2">
                  <w:pPr>
                    <w:rPr>
                      <w:b/>
                      <w:i/>
                      <w:sz w:val="18"/>
                      <w:szCs w:val="20"/>
                    </w:rPr>
                  </w:pPr>
                  <w:r w:rsidRPr="008E56A8">
                    <w:rPr>
                      <w:b/>
                      <w:i/>
                      <w:sz w:val="18"/>
                      <w:szCs w:val="20"/>
                    </w:rPr>
                    <w:t>[szt.]</w:t>
                  </w:r>
                </w:p>
              </w:tc>
              <w:tc>
                <w:tcPr>
                  <w:tcW w:w="956" w:type="pct"/>
                </w:tcPr>
                <w:p w14:paraId="3CA13152" w14:textId="77777777" w:rsidR="002615D2" w:rsidRPr="008E56A8" w:rsidRDefault="002615D2" w:rsidP="002615D2">
                  <w:pPr>
                    <w:rPr>
                      <w:b/>
                      <w:i/>
                      <w:sz w:val="18"/>
                      <w:szCs w:val="20"/>
                    </w:rPr>
                  </w:pPr>
                  <w:r w:rsidRPr="008E56A8">
                    <w:rPr>
                      <w:b/>
                      <w:i/>
                      <w:sz w:val="18"/>
                      <w:szCs w:val="20"/>
                    </w:rPr>
                    <w:t>196 390,00</w:t>
                  </w:r>
                </w:p>
              </w:tc>
              <w:tc>
                <w:tcPr>
                  <w:tcW w:w="883" w:type="pct"/>
                </w:tcPr>
                <w:p w14:paraId="0EEDE8EA" w14:textId="77777777" w:rsidR="002615D2" w:rsidRPr="008E56A8" w:rsidRDefault="002615D2" w:rsidP="002615D2">
                  <w:pPr>
                    <w:rPr>
                      <w:b/>
                      <w:i/>
                      <w:sz w:val="18"/>
                      <w:szCs w:val="20"/>
                    </w:rPr>
                  </w:pPr>
                  <w:r w:rsidRPr="008E56A8">
                    <w:rPr>
                      <w:b/>
                      <w:i/>
                      <w:sz w:val="18"/>
                      <w:szCs w:val="20"/>
                    </w:rPr>
                    <w:t>07-2019</w:t>
                  </w:r>
                </w:p>
              </w:tc>
              <w:tc>
                <w:tcPr>
                  <w:tcW w:w="1177" w:type="pct"/>
                </w:tcPr>
                <w:p w14:paraId="580D0F7B" w14:textId="77777777" w:rsidR="002615D2" w:rsidRPr="008E56A8" w:rsidRDefault="002615D2" w:rsidP="002615D2">
                  <w:pPr>
                    <w:rPr>
                      <w:b/>
                      <w:i/>
                      <w:sz w:val="18"/>
                      <w:szCs w:val="20"/>
                    </w:rPr>
                  </w:pPr>
                  <w:r w:rsidRPr="008E56A8">
                    <w:rPr>
                      <w:b/>
                      <w:i/>
                      <w:sz w:val="18"/>
                      <w:szCs w:val="20"/>
                    </w:rPr>
                    <w:t>305 394,00</w:t>
                  </w:r>
                </w:p>
              </w:tc>
            </w:tr>
            <w:tr w:rsidR="002615D2" w:rsidRPr="008E56A8" w14:paraId="7A682652" w14:textId="77777777" w:rsidTr="002615D2">
              <w:tc>
                <w:tcPr>
                  <w:tcW w:w="1321" w:type="pct"/>
                </w:tcPr>
                <w:p w14:paraId="11CF71DD" w14:textId="77777777" w:rsidR="002615D2" w:rsidRPr="008E56A8" w:rsidRDefault="002615D2" w:rsidP="002615D2">
                  <w:pPr>
                    <w:autoSpaceDE w:val="0"/>
                    <w:autoSpaceDN w:val="0"/>
                    <w:adjustRightInd w:val="0"/>
                    <w:rPr>
                      <w:b/>
                      <w:i/>
                      <w:sz w:val="18"/>
                      <w:szCs w:val="20"/>
                    </w:rPr>
                  </w:pPr>
                  <w:r w:rsidRPr="008E56A8">
                    <w:rPr>
                      <w:b/>
                      <w:i/>
                      <w:sz w:val="18"/>
                      <w:szCs w:val="20"/>
                    </w:rPr>
                    <w:t>Liczba udostępnionych on-line dokumentów zawierających</w:t>
                  </w:r>
                </w:p>
                <w:p w14:paraId="5E4FE222" w14:textId="77777777" w:rsidR="002615D2" w:rsidRPr="008E56A8" w:rsidRDefault="002615D2" w:rsidP="002615D2">
                  <w:pPr>
                    <w:autoSpaceDE w:val="0"/>
                    <w:autoSpaceDN w:val="0"/>
                    <w:adjustRightInd w:val="0"/>
                    <w:rPr>
                      <w:b/>
                      <w:i/>
                      <w:sz w:val="18"/>
                      <w:szCs w:val="20"/>
                    </w:rPr>
                  </w:pPr>
                  <w:r w:rsidRPr="008E56A8">
                    <w:rPr>
                      <w:b/>
                      <w:i/>
                      <w:sz w:val="18"/>
                      <w:szCs w:val="20"/>
                    </w:rPr>
                    <w:t>informacje sektora publicznego</w:t>
                  </w:r>
                </w:p>
              </w:tc>
              <w:tc>
                <w:tcPr>
                  <w:tcW w:w="663" w:type="pct"/>
                </w:tcPr>
                <w:p w14:paraId="39A30AB1" w14:textId="77777777" w:rsidR="002615D2" w:rsidRPr="008E56A8" w:rsidRDefault="002615D2" w:rsidP="002615D2">
                  <w:pPr>
                    <w:rPr>
                      <w:b/>
                      <w:i/>
                      <w:sz w:val="18"/>
                      <w:szCs w:val="20"/>
                    </w:rPr>
                  </w:pPr>
                  <w:r w:rsidRPr="008E56A8">
                    <w:rPr>
                      <w:b/>
                      <w:i/>
                      <w:sz w:val="18"/>
                      <w:szCs w:val="20"/>
                    </w:rPr>
                    <w:t>[szt.]</w:t>
                  </w:r>
                </w:p>
              </w:tc>
              <w:tc>
                <w:tcPr>
                  <w:tcW w:w="956" w:type="pct"/>
                </w:tcPr>
                <w:p w14:paraId="3EDE080F" w14:textId="77777777" w:rsidR="002615D2" w:rsidRPr="008E56A8" w:rsidRDefault="002615D2" w:rsidP="002615D2">
                  <w:pPr>
                    <w:rPr>
                      <w:b/>
                      <w:i/>
                      <w:sz w:val="18"/>
                      <w:szCs w:val="20"/>
                    </w:rPr>
                  </w:pPr>
                  <w:r w:rsidRPr="008E56A8">
                    <w:rPr>
                      <w:b/>
                      <w:i/>
                      <w:sz w:val="18"/>
                      <w:szCs w:val="20"/>
                    </w:rPr>
                    <w:t>2,00</w:t>
                  </w:r>
                </w:p>
              </w:tc>
              <w:tc>
                <w:tcPr>
                  <w:tcW w:w="883" w:type="pct"/>
                </w:tcPr>
                <w:p w14:paraId="66E80688" w14:textId="77777777" w:rsidR="002615D2" w:rsidRPr="008E56A8" w:rsidRDefault="002615D2" w:rsidP="002615D2">
                  <w:pPr>
                    <w:rPr>
                      <w:b/>
                      <w:i/>
                      <w:sz w:val="18"/>
                      <w:szCs w:val="20"/>
                    </w:rPr>
                  </w:pPr>
                  <w:r w:rsidRPr="008E56A8">
                    <w:rPr>
                      <w:b/>
                      <w:i/>
                      <w:sz w:val="18"/>
                      <w:szCs w:val="20"/>
                    </w:rPr>
                    <w:t>07-2019</w:t>
                  </w:r>
                </w:p>
              </w:tc>
              <w:tc>
                <w:tcPr>
                  <w:tcW w:w="1177" w:type="pct"/>
                </w:tcPr>
                <w:p w14:paraId="6E4F7C80" w14:textId="77777777" w:rsidR="002615D2" w:rsidRPr="008E56A8" w:rsidRDefault="002615D2" w:rsidP="002615D2">
                  <w:pPr>
                    <w:rPr>
                      <w:b/>
                      <w:i/>
                      <w:sz w:val="18"/>
                      <w:szCs w:val="20"/>
                    </w:rPr>
                  </w:pPr>
                  <w:r w:rsidRPr="008E56A8">
                    <w:rPr>
                      <w:b/>
                      <w:i/>
                      <w:sz w:val="18"/>
                      <w:szCs w:val="20"/>
                    </w:rPr>
                    <w:t>2,00</w:t>
                  </w:r>
                </w:p>
              </w:tc>
            </w:tr>
            <w:tr w:rsidR="002615D2" w:rsidRPr="008E56A8" w14:paraId="4831F416" w14:textId="77777777" w:rsidTr="002615D2">
              <w:tc>
                <w:tcPr>
                  <w:tcW w:w="1321" w:type="pct"/>
                </w:tcPr>
                <w:p w14:paraId="08930051" w14:textId="77777777" w:rsidR="002615D2" w:rsidRPr="008E56A8" w:rsidRDefault="002615D2" w:rsidP="002615D2">
                  <w:pPr>
                    <w:autoSpaceDE w:val="0"/>
                    <w:autoSpaceDN w:val="0"/>
                    <w:adjustRightInd w:val="0"/>
                    <w:rPr>
                      <w:b/>
                      <w:i/>
                      <w:sz w:val="18"/>
                      <w:szCs w:val="20"/>
                    </w:rPr>
                  </w:pPr>
                  <w:r w:rsidRPr="008E56A8">
                    <w:rPr>
                      <w:b/>
                      <w:i/>
                      <w:sz w:val="18"/>
                      <w:szCs w:val="20"/>
                    </w:rPr>
                    <w:t>Liczba utworzonych API</w:t>
                  </w:r>
                </w:p>
              </w:tc>
              <w:tc>
                <w:tcPr>
                  <w:tcW w:w="663" w:type="pct"/>
                </w:tcPr>
                <w:p w14:paraId="0A7FE5E4" w14:textId="77777777" w:rsidR="002615D2" w:rsidRPr="008E56A8" w:rsidRDefault="002615D2" w:rsidP="002615D2">
                  <w:pPr>
                    <w:rPr>
                      <w:b/>
                      <w:i/>
                      <w:sz w:val="18"/>
                      <w:szCs w:val="20"/>
                    </w:rPr>
                  </w:pPr>
                  <w:r w:rsidRPr="008E56A8">
                    <w:rPr>
                      <w:b/>
                      <w:i/>
                      <w:sz w:val="18"/>
                      <w:szCs w:val="20"/>
                    </w:rPr>
                    <w:t>[szt.]</w:t>
                  </w:r>
                </w:p>
              </w:tc>
              <w:tc>
                <w:tcPr>
                  <w:tcW w:w="956" w:type="pct"/>
                </w:tcPr>
                <w:p w14:paraId="67A313B9" w14:textId="77777777" w:rsidR="002615D2" w:rsidRPr="008E56A8" w:rsidRDefault="002615D2" w:rsidP="002615D2">
                  <w:pPr>
                    <w:rPr>
                      <w:b/>
                      <w:i/>
                      <w:sz w:val="18"/>
                      <w:szCs w:val="20"/>
                    </w:rPr>
                  </w:pPr>
                  <w:r w:rsidRPr="008E56A8">
                    <w:rPr>
                      <w:b/>
                      <w:i/>
                      <w:sz w:val="18"/>
                      <w:szCs w:val="20"/>
                    </w:rPr>
                    <w:t>6,00</w:t>
                  </w:r>
                </w:p>
              </w:tc>
              <w:tc>
                <w:tcPr>
                  <w:tcW w:w="883" w:type="pct"/>
                </w:tcPr>
                <w:p w14:paraId="76388D60" w14:textId="77777777" w:rsidR="002615D2" w:rsidRPr="008E56A8" w:rsidRDefault="002615D2" w:rsidP="002615D2">
                  <w:pPr>
                    <w:rPr>
                      <w:b/>
                      <w:i/>
                      <w:sz w:val="18"/>
                      <w:szCs w:val="20"/>
                    </w:rPr>
                  </w:pPr>
                  <w:r w:rsidRPr="008E56A8">
                    <w:rPr>
                      <w:b/>
                      <w:i/>
                      <w:sz w:val="18"/>
                      <w:szCs w:val="20"/>
                    </w:rPr>
                    <w:t>07-2019</w:t>
                  </w:r>
                </w:p>
              </w:tc>
              <w:tc>
                <w:tcPr>
                  <w:tcW w:w="1177" w:type="pct"/>
                </w:tcPr>
                <w:p w14:paraId="72948EAA" w14:textId="77777777" w:rsidR="002615D2" w:rsidRPr="008E56A8" w:rsidRDefault="002615D2" w:rsidP="002615D2">
                  <w:pPr>
                    <w:rPr>
                      <w:b/>
                      <w:i/>
                      <w:sz w:val="18"/>
                      <w:szCs w:val="20"/>
                    </w:rPr>
                  </w:pPr>
                  <w:r w:rsidRPr="008E56A8">
                    <w:rPr>
                      <w:b/>
                      <w:i/>
                      <w:sz w:val="18"/>
                      <w:szCs w:val="20"/>
                    </w:rPr>
                    <w:t>6,00</w:t>
                  </w:r>
                </w:p>
              </w:tc>
            </w:tr>
            <w:tr w:rsidR="002615D2" w:rsidRPr="008E56A8" w14:paraId="1501EA9C" w14:textId="77777777" w:rsidTr="002615D2">
              <w:tc>
                <w:tcPr>
                  <w:tcW w:w="1321" w:type="pct"/>
                </w:tcPr>
                <w:p w14:paraId="3F6DD239" w14:textId="77777777" w:rsidR="002615D2" w:rsidRPr="008E56A8" w:rsidRDefault="002615D2" w:rsidP="002615D2">
                  <w:pPr>
                    <w:autoSpaceDE w:val="0"/>
                    <w:autoSpaceDN w:val="0"/>
                    <w:adjustRightInd w:val="0"/>
                    <w:rPr>
                      <w:b/>
                      <w:i/>
                      <w:sz w:val="18"/>
                      <w:szCs w:val="20"/>
                    </w:rPr>
                  </w:pPr>
                  <w:r w:rsidRPr="008E56A8">
                    <w:rPr>
                      <w:b/>
                      <w:i/>
                      <w:sz w:val="18"/>
                      <w:szCs w:val="20"/>
                    </w:rPr>
                    <w:t>Liczba baz danych udostępnionych on-line poprzez API</w:t>
                  </w:r>
                </w:p>
              </w:tc>
              <w:tc>
                <w:tcPr>
                  <w:tcW w:w="663" w:type="pct"/>
                </w:tcPr>
                <w:p w14:paraId="7326B390" w14:textId="77777777" w:rsidR="002615D2" w:rsidRPr="008E56A8" w:rsidRDefault="002615D2" w:rsidP="002615D2">
                  <w:pPr>
                    <w:rPr>
                      <w:b/>
                      <w:i/>
                      <w:sz w:val="18"/>
                      <w:szCs w:val="20"/>
                    </w:rPr>
                  </w:pPr>
                  <w:r w:rsidRPr="008E56A8">
                    <w:rPr>
                      <w:b/>
                      <w:i/>
                      <w:sz w:val="18"/>
                      <w:szCs w:val="20"/>
                    </w:rPr>
                    <w:t>[szt.]</w:t>
                  </w:r>
                </w:p>
              </w:tc>
              <w:tc>
                <w:tcPr>
                  <w:tcW w:w="956" w:type="pct"/>
                </w:tcPr>
                <w:p w14:paraId="2EC399DE" w14:textId="77777777" w:rsidR="002615D2" w:rsidRPr="008E56A8" w:rsidRDefault="002615D2" w:rsidP="002615D2">
                  <w:pPr>
                    <w:rPr>
                      <w:b/>
                      <w:i/>
                      <w:sz w:val="18"/>
                      <w:szCs w:val="20"/>
                    </w:rPr>
                  </w:pPr>
                  <w:r w:rsidRPr="008E56A8">
                    <w:rPr>
                      <w:b/>
                      <w:i/>
                      <w:sz w:val="18"/>
                      <w:szCs w:val="20"/>
                    </w:rPr>
                    <w:t>2,00</w:t>
                  </w:r>
                </w:p>
              </w:tc>
              <w:tc>
                <w:tcPr>
                  <w:tcW w:w="883" w:type="pct"/>
                </w:tcPr>
                <w:p w14:paraId="20F2AB8C" w14:textId="77777777" w:rsidR="002615D2" w:rsidRPr="008E56A8" w:rsidRDefault="002615D2" w:rsidP="002615D2">
                  <w:pPr>
                    <w:rPr>
                      <w:b/>
                      <w:i/>
                      <w:sz w:val="18"/>
                      <w:szCs w:val="20"/>
                    </w:rPr>
                  </w:pPr>
                  <w:r w:rsidRPr="008E56A8">
                    <w:rPr>
                      <w:b/>
                      <w:i/>
                      <w:sz w:val="18"/>
                      <w:szCs w:val="20"/>
                    </w:rPr>
                    <w:t>07-2019</w:t>
                  </w:r>
                </w:p>
              </w:tc>
              <w:tc>
                <w:tcPr>
                  <w:tcW w:w="1177" w:type="pct"/>
                </w:tcPr>
                <w:p w14:paraId="18ABE1CB" w14:textId="77777777" w:rsidR="002615D2" w:rsidRPr="008E56A8" w:rsidRDefault="002615D2" w:rsidP="002615D2">
                  <w:pPr>
                    <w:rPr>
                      <w:b/>
                      <w:i/>
                      <w:sz w:val="18"/>
                      <w:szCs w:val="20"/>
                    </w:rPr>
                  </w:pPr>
                  <w:r w:rsidRPr="008E56A8">
                    <w:rPr>
                      <w:b/>
                      <w:i/>
                      <w:sz w:val="18"/>
                      <w:szCs w:val="20"/>
                    </w:rPr>
                    <w:t>2,00</w:t>
                  </w:r>
                </w:p>
              </w:tc>
            </w:tr>
            <w:tr w:rsidR="002615D2" w:rsidRPr="008E56A8" w14:paraId="2F54460F" w14:textId="77777777" w:rsidTr="002615D2">
              <w:tc>
                <w:tcPr>
                  <w:tcW w:w="1321" w:type="pct"/>
                </w:tcPr>
                <w:p w14:paraId="05922F8D" w14:textId="77777777" w:rsidR="002615D2" w:rsidRPr="008E56A8" w:rsidRDefault="002615D2" w:rsidP="002615D2">
                  <w:pPr>
                    <w:autoSpaceDE w:val="0"/>
                    <w:autoSpaceDN w:val="0"/>
                    <w:adjustRightInd w:val="0"/>
                    <w:rPr>
                      <w:b/>
                      <w:i/>
                      <w:sz w:val="18"/>
                      <w:szCs w:val="20"/>
                    </w:rPr>
                  </w:pPr>
                  <w:r w:rsidRPr="008E56A8">
                    <w:rPr>
                      <w:b/>
                      <w:i/>
                      <w:sz w:val="18"/>
                      <w:szCs w:val="20"/>
                    </w:rPr>
                    <w:t>Rozmiar udostępnionych on-line informacji sektora publicznego</w:t>
                  </w:r>
                </w:p>
              </w:tc>
              <w:tc>
                <w:tcPr>
                  <w:tcW w:w="663" w:type="pct"/>
                </w:tcPr>
                <w:p w14:paraId="5436F5A2" w14:textId="77777777" w:rsidR="002615D2" w:rsidRPr="008E56A8" w:rsidRDefault="002615D2" w:rsidP="002615D2">
                  <w:pPr>
                    <w:rPr>
                      <w:b/>
                      <w:i/>
                      <w:sz w:val="18"/>
                      <w:szCs w:val="20"/>
                    </w:rPr>
                  </w:pPr>
                  <w:r w:rsidRPr="008E56A8">
                    <w:rPr>
                      <w:b/>
                      <w:i/>
                      <w:sz w:val="18"/>
                      <w:szCs w:val="20"/>
                    </w:rPr>
                    <w:t>[TB]</w:t>
                  </w:r>
                </w:p>
              </w:tc>
              <w:tc>
                <w:tcPr>
                  <w:tcW w:w="956" w:type="pct"/>
                </w:tcPr>
                <w:p w14:paraId="5B7A37A5" w14:textId="77777777" w:rsidR="002615D2" w:rsidRPr="008E56A8" w:rsidRDefault="002615D2" w:rsidP="002615D2">
                  <w:pPr>
                    <w:rPr>
                      <w:b/>
                      <w:i/>
                      <w:sz w:val="18"/>
                      <w:szCs w:val="20"/>
                    </w:rPr>
                  </w:pPr>
                  <w:r w:rsidRPr="008E56A8">
                    <w:rPr>
                      <w:b/>
                      <w:i/>
                      <w:sz w:val="18"/>
                      <w:szCs w:val="20"/>
                    </w:rPr>
                    <w:t>0,03</w:t>
                  </w:r>
                </w:p>
                <w:p w14:paraId="7AB58F14" w14:textId="77777777" w:rsidR="002615D2" w:rsidRPr="008E56A8" w:rsidRDefault="002615D2" w:rsidP="002615D2">
                  <w:pPr>
                    <w:rPr>
                      <w:b/>
                      <w:i/>
                      <w:sz w:val="18"/>
                      <w:szCs w:val="20"/>
                    </w:rPr>
                  </w:pPr>
                </w:p>
              </w:tc>
              <w:tc>
                <w:tcPr>
                  <w:tcW w:w="883" w:type="pct"/>
                </w:tcPr>
                <w:p w14:paraId="223EDFD0" w14:textId="77777777" w:rsidR="002615D2" w:rsidRPr="008E56A8" w:rsidRDefault="002615D2" w:rsidP="002615D2">
                  <w:pPr>
                    <w:rPr>
                      <w:b/>
                      <w:i/>
                      <w:sz w:val="18"/>
                      <w:szCs w:val="20"/>
                    </w:rPr>
                  </w:pPr>
                  <w:r w:rsidRPr="008E56A8">
                    <w:rPr>
                      <w:b/>
                      <w:i/>
                      <w:sz w:val="18"/>
                      <w:szCs w:val="20"/>
                    </w:rPr>
                    <w:t>07-2019</w:t>
                  </w:r>
                </w:p>
              </w:tc>
              <w:tc>
                <w:tcPr>
                  <w:tcW w:w="1177" w:type="pct"/>
                </w:tcPr>
                <w:p w14:paraId="611CF79E" w14:textId="77777777" w:rsidR="002615D2" w:rsidRPr="008E56A8" w:rsidRDefault="002615D2" w:rsidP="002615D2">
                  <w:pPr>
                    <w:rPr>
                      <w:b/>
                      <w:i/>
                      <w:sz w:val="18"/>
                      <w:szCs w:val="20"/>
                    </w:rPr>
                  </w:pPr>
                  <w:r w:rsidRPr="008E56A8">
                    <w:rPr>
                      <w:b/>
                      <w:i/>
                      <w:sz w:val="18"/>
                      <w:szCs w:val="20"/>
                    </w:rPr>
                    <w:t>0,03</w:t>
                  </w:r>
                </w:p>
              </w:tc>
            </w:tr>
            <w:tr w:rsidR="002615D2" w:rsidRPr="008E56A8" w14:paraId="4BB25814" w14:textId="77777777" w:rsidTr="002615D2">
              <w:tc>
                <w:tcPr>
                  <w:tcW w:w="1321" w:type="pct"/>
                </w:tcPr>
                <w:p w14:paraId="4F10893C" w14:textId="77777777" w:rsidR="002615D2" w:rsidRPr="008E56A8" w:rsidRDefault="002615D2" w:rsidP="002615D2">
                  <w:pPr>
                    <w:autoSpaceDE w:val="0"/>
                    <w:autoSpaceDN w:val="0"/>
                    <w:adjustRightInd w:val="0"/>
                    <w:rPr>
                      <w:b/>
                      <w:i/>
                      <w:sz w:val="18"/>
                      <w:szCs w:val="20"/>
                    </w:rPr>
                  </w:pPr>
                  <w:r w:rsidRPr="008E56A8">
                    <w:rPr>
                      <w:b/>
                      <w:i/>
                      <w:sz w:val="18"/>
                      <w:szCs w:val="20"/>
                    </w:rPr>
                    <w:t>Liczba wygenerowanych kluczy API</w:t>
                  </w:r>
                </w:p>
              </w:tc>
              <w:tc>
                <w:tcPr>
                  <w:tcW w:w="663" w:type="pct"/>
                </w:tcPr>
                <w:p w14:paraId="486DB031" w14:textId="77777777" w:rsidR="002615D2" w:rsidRPr="008E56A8" w:rsidRDefault="002615D2" w:rsidP="002615D2">
                  <w:pPr>
                    <w:rPr>
                      <w:b/>
                      <w:i/>
                      <w:sz w:val="18"/>
                      <w:szCs w:val="20"/>
                    </w:rPr>
                  </w:pPr>
                  <w:r w:rsidRPr="008E56A8">
                    <w:rPr>
                      <w:b/>
                      <w:i/>
                      <w:sz w:val="18"/>
                      <w:szCs w:val="20"/>
                    </w:rPr>
                    <w:t>[szt.]</w:t>
                  </w:r>
                </w:p>
              </w:tc>
              <w:tc>
                <w:tcPr>
                  <w:tcW w:w="956" w:type="pct"/>
                </w:tcPr>
                <w:p w14:paraId="330D2922" w14:textId="77777777" w:rsidR="002615D2" w:rsidRPr="008E56A8" w:rsidRDefault="002615D2" w:rsidP="002615D2">
                  <w:pPr>
                    <w:rPr>
                      <w:b/>
                      <w:i/>
                      <w:sz w:val="18"/>
                      <w:szCs w:val="20"/>
                    </w:rPr>
                  </w:pPr>
                  <w:r w:rsidRPr="008E56A8">
                    <w:rPr>
                      <w:b/>
                      <w:i/>
                      <w:sz w:val="18"/>
                      <w:szCs w:val="20"/>
                    </w:rPr>
                    <w:t>3,00</w:t>
                  </w:r>
                </w:p>
              </w:tc>
              <w:tc>
                <w:tcPr>
                  <w:tcW w:w="883" w:type="pct"/>
                </w:tcPr>
                <w:p w14:paraId="1AEFD552" w14:textId="77777777" w:rsidR="002615D2" w:rsidRPr="008E56A8" w:rsidRDefault="002615D2" w:rsidP="002615D2">
                  <w:pPr>
                    <w:rPr>
                      <w:b/>
                      <w:i/>
                      <w:sz w:val="18"/>
                      <w:szCs w:val="20"/>
                    </w:rPr>
                  </w:pPr>
                  <w:r w:rsidRPr="008E56A8">
                    <w:rPr>
                      <w:b/>
                      <w:i/>
                      <w:sz w:val="18"/>
                      <w:szCs w:val="20"/>
                    </w:rPr>
                    <w:t>07-2019</w:t>
                  </w:r>
                </w:p>
              </w:tc>
              <w:tc>
                <w:tcPr>
                  <w:tcW w:w="1177" w:type="pct"/>
                </w:tcPr>
                <w:p w14:paraId="7DD767B4" w14:textId="77777777" w:rsidR="002615D2" w:rsidRPr="008E56A8" w:rsidRDefault="002615D2" w:rsidP="002615D2">
                  <w:pPr>
                    <w:rPr>
                      <w:b/>
                      <w:i/>
                      <w:sz w:val="18"/>
                      <w:szCs w:val="20"/>
                    </w:rPr>
                  </w:pPr>
                  <w:r w:rsidRPr="008E56A8">
                    <w:rPr>
                      <w:b/>
                      <w:i/>
                      <w:sz w:val="18"/>
                      <w:szCs w:val="20"/>
                    </w:rPr>
                    <w:t>3,00</w:t>
                  </w:r>
                </w:p>
              </w:tc>
            </w:tr>
            <w:tr w:rsidR="002615D2" w:rsidRPr="008E56A8" w14:paraId="49666796" w14:textId="77777777" w:rsidTr="002615D2">
              <w:tc>
                <w:tcPr>
                  <w:tcW w:w="1321" w:type="pct"/>
                </w:tcPr>
                <w:p w14:paraId="13E9E27E" w14:textId="77777777" w:rsidR="002615D2" w:rsidRPr="008E56A8" w:rsidRDefault="002615D2" w:rsidP="002615D2">
                  <w:pPr>
                    <w:autoSpaceDE w:val="0"/>
                    <w:autoSpaceDN w:val="0"/>
                    <w:adjustRightInd w:val="0"/>
                    <w:rPr>
                      <w:b/>
                      <w:i/>
                      <w:sz w:val="18"/>
                      <w:szCs w:val="20"/>
                    </w:rPr>
                  </w:pPr>
                  <w:r w:rsidRPr="008E56A8">
                    <w:rPr>
                      <w:b/>
                      <w:i/>
                      <w:sz w:val="18"/>
                      <w:szCs w:val="20"/>
                    </w:rPr>
                    <w:t>Liczba pobrań/</w:t>
                  </w:r>
                  <w:proofErr w:type="spellStart"/>
                  <w:r w:rsidRPr="008E56A8">
                    <w:rPr>
                      <w:b/>
                      <w:i/>
                      <w:sz w:val="18"/>
                      <w:szCs w:val="20"/>
                    </w:rPr>
                    <w:t>odtworzeń</w:t>
                  </w:r>
                  <w:proofErr w:type="spellEnd"/>
                  <w:r w:rsidRPr="008E56A8">
                    <w:rPr>
                      <w:b/>
                      <w:i/>
                      <w:sz w:val="18"/>
                      <w:szCs w:val="20"/>
                    </w:rPr>
                    <w:t xml:space="preserve"> dokumentów zawierających informacje</w:t>
                  </w:r>
                </w:p>
                <w:p w14:paraId="0EA2AC7B" w14:textId="77777777" w:rsidR="002615D2" w:rsidRPr="008E56A8" w:rsidRDefault="002615D2" w:rsidP="002615D2">
                  <w:pPr>
                    <w:autoSpaceDE w:val="0"/>
                    <w:autoSpaceDN w:val="0"/>
                    <w:adjustRightInd w:val="0"/>
                    <w:rPr>
                      <w:b/>
                      <w:i/>
                      <w:sz w:val="18"/>
                      <w:szCs w:val="20"/>
                    </w:rPr>
                  </w:pPr>
                  <w:r w:rsidRPr="008E56A8">
                    <w:rPr>
                      <w:b/>
                      <w:i/>
                      <w:sz w:val="18"/>
                      <w:szCs w:val="20"/>
                    </w:rPr>
                    <w:t>sektora publicznego [szt.]</w:t>
                  </w:r>
                </w:p>
              </w:tc>
              <w:tc>
                <w:tcPr>
                  <w:tcW w:w="663" w:type="pct"/>
                </w:tcPr>
                <w:p w14:paraId="11BFA0B6" w14:textId="77777777" w:rsidR="002615D2" w:rsidRPr="008E56A8" w:rsidRDefault="002615D2" w:rsidP="002615D2">
                  <w:pPr>
                    <w:rPr>
                      <w:b/>
                      <w:i/>
                      <w:sz w:val="18"/>
                      <w:szCs w:val="20"/>
                    </w:rPr>
                  </w:pPr>
                  <w:r w:rsidRPr="008E56A8">
                    <w:rPr>
                      <w:b/>
                      <w:i/>
                      <w:sz w:val="18"/>
                      <w:szCs w:val="20"/>
                    </w:rPr>
                    <w:t>[szt.]</w:t>
                  </w:r>
                </w:p>
              </w:tc>
              <w:tc>
                <w:tcPr>
                  <w:tcW w:w="956" w:type="pct"/>
                </w:tcPr>
                <w:p w14:paraId="7F85182A" w14:textId="77777777" w:rsidR="002615D2" w:rsidRPr="008E56A8" w:rsidRDefault="002615D2" w:rsidP="002615D2">
                  <w:pPr>
                    <w:rPr>
                      <w:b/>
                      <w:i/>
                      <w:sz w:val="18"/>
                      <w:szCs w:val="20"/>
                    </w:rPr>
                  </w:pPr>
                  <w:r w:rsidRPr="008E56A8">
                    <w:rPr>
                      <w:b/>
                      <w:i/>
                      <w:sz w:val="18"/>
                      <w:szCs w:val="20"/>
                    </w:rPr>
                    <w:t>500 000,00</w:t>
                  </w:r>
                </w:p>
              </w:tc>
              <w:tc>
                <w:tcPr>
                  <w:tcW w:w="883" w:type="pct"/>
                </w:tcPr>
                <w:p w14:paraId="2FFD1059" w14:textId="77777777" w:rsidR="002615D2" w:rsidRPr="008E56A8" w:rsidRDefault="002615D2" w:rsidP="002615D2">
                  <w:pPr>
                    <w:rPr>
                      <w:b/>
                      <w:i/>
                      <w:sz w:val="18"/>
                      <w:szCs w:val="20"/>
                    </w:rPr>
                  </w:pPr>
                  <w:r w:rsidRPr="008E56A8">
                    <w:rPr>
                      <w:b/>
                      <w:i/>
                      <w:sz w:val="18"/>
                      <w:szCs w:val="20"/>
                    </w:rPr>
                    <w:t>07-2020</w:t>
                  </w:r>
                </w:p>
              </w:tc>
              <w:tc>
                <w:tcPr>
                  <w:tcW w:w="1177" w:type="pct"/>
                </w:tcPr>
                <w:p w14:paraId="1A69015F" w14:textId="77777777" w:rsidR="002615D2" w:rsidRPr="008E56A8" w:rsidRDefault="002615D2" w:rsidP="002615D2">
                  <w:pPr>
                    <w:rPr>
                      <w:b/>
                      <w:i/>
                      <w:sz w:val="18"/>
                      <w:szCs w:val="20"/>
                    </w:rPr>
                  </w:pPr>
                  <w:r w:rsidRPr="008E56A8">
                    <w:rPr>
                      <w:b/>
                      <w:i/>
                      <w:sz w:val="18"/>
                      <w:szCs w:val="20"/>
                    </w:rPr>
                    <w:t>0,00</w:t>
                  </w:r>
                </w:p>
              </w:tc>
            </w:tr>
          </w:tbl>
          <w:p w14:paraId="78A0C9AB" w14:textId="77777777" w:rsidR="002615D2" w:rsidRPr="008E56A8" w:rsidRDefault="002615D2" w:rsidP="00EB22EF">
            <w:pPr>
              <w:jc w:val="both"/>
              <w:rPr>
                <w:b/>
                <w:i/>
                <w:sz w:val="18"/>
                <w:szCs w:val="20"/>
              </w:rPr>
            </w:pPr>
            <w:r w:rsidRPr="008E56A8">
              <w:rPr>
                <w:b/>
                <w:i/>
                <w:sz w:val="18"/>
                <w:szCs w:val="20"/>
              </w:rPr>
              <w:t xml:space="preserve">Wskaźnik „Liczba pobrań…” możliwy do oszacowania po upływie roku od wdrożenia systemu. </w:t>
            </w:r>
          </w:p>
          <w:p w14:paraId="4B659FB4" w14:textId="77777777" w:rsidR="00525DCF" w:rsidRPr="008E56A8" w:rsidRDefault="00525DCF" w:rsidP="00EB22EF">
            <w:pPr>
              <w:jc w:val="both"/>
              <w:rPr>
                <w:b/>
                <w:i/>
                <w:sz w:val="18"/>
                <w:szCs w:val="20"/>
              </w:rPr>
            </w:pPr>
            <w:r w:rsidRPr="008E56A8">
              <w:rPr>
                <w:b/>
                <w:i/>
                <w:sz w:val="18"/>
                <w:szCs w:val="20"/>
              </w:rPr>
              <w:t xml:space="preserve"> </w:t>
            </w:r>
          </w:p>
        </w:tc>
      </w:tr>
      <w:tr w:rsidR="00525DCF" w:rsidRPr="002450C4" w14:paraId="477ECF6C" w14:textId="77777777" w:rsidTr="00D70D9B">
        <w:tc>
          <w:tcPr>
            <w:tcW w:w="568" w:type="dxa"/>
          </w:tcPr>
          <w:p w14:paraId="3CFD9C3E" w14:textId="77777777" w:rsidR="00525DCF" w:rsidRPr="002450C4" w:rsidRDefault="00525DCF" w:rsidP="00EB22EF">
            <w:pPr>
              <w:pStyle w:val="Akapitzlist"/>
              <w:numPr>
                <w:ilvl w:val="0"/>
                <w:numId w:val="1"/>
              </w:numPr>
              <w:rPr>
                <w:sz w:val="18"/>
                <w:szCs w:val="20"/>
              </w:rPr>
            </w:pPr>
          </w:p>
        </w:tc>
        <w:tc>
          <w:tcPr>
            <w:tcW w:w="1525" w:type="dxa"/>
          </w:tcPr>
          <w:p w14:paraId="685FCF03" w14:textId="77777777" w:rsidR="00525DCF" w:rsidRPr="002450C4" w:rsidRDefault="00525DCF" w:rsidP="00EB22EF">
            <w:pPr>
              <w:rPr>
                <w:sz w:val="18"/>
                <w:szCs w:val="20"/>
              </w:rPr>
            </w:pPr>
            <w:r>
              <w:rPr>
                <w:sz w:val="18"/>
                <w:szCs w:val="20"/>
              </w:rPr>
              <w:t>Ryzyka i problemy</w:t>
            </w:r>
          </w:p>
        </w:tc>
        <w:tc>
          <w:tcPr>
            <w:tcW w:w="7390" w:type="dxa"/>
          </w:tcPr>
          <w:p w14:paraId="3E9593C9" w14:textId="77777777" w:rsidR="0046665F" w:rsidRPr="00B55BD4" w:rsidRDefault="0046665F" w:rsidP="0046665F">
            <w:pPr>
              <w:jc w:val="both"/>
              <w:rPr>
                <w:b/>
                <w:i/>
                <w:sz w:val="18"/>
                <w:szCs w:val="20"/>
              </w:rPr>
            </w:pPr>
            <w:r w:rsidRPr="00B55BD4">
              <w:rPr>
                <w:b/>
                <w:i/>
                <w:sz w:val="18"/>
                <w:szCs w:val="20"/>
              </w:rPr>
              <w:t xml:space="preserve">Do najważniejszych </w:t>
            </w:r>
            <w:proofErr w:type="spellStart"/>
            <w:r w:rsidRPr="00B55BD4">
              <w:rPr>
                <w:b/>
                <w:i/>
                <w:sz w:val="18"/>
                <w:szCs w:val="20"/>
              </w:rPr>
              <w:t>ryzyk</w:t>
            </w:r>
            <w:proofErr w:type="spellEnd"/>
            <w:r w:rsidRPr="00B55BD4">
              <w:rPr>
                <w:b/>
                <w:i/>
                <w:sz w:val="18"/>
                <w:szCs w:val="20"/>
              </w:rPr>
              <w:t xml:space="preserve"> i problemów, które wystąpiły podczas realizacji projektu należy</w:t>
            </w:r>
          </w:p>
          <w:p w14:paraId="0B535CDD" w14:textId="77777777" w:rsidR="0046665F" w:rsidRPr="00B55BD4" w:rsidRDefault="0046665F" w:rsidP="0046665F">
            <w:pPr>
              <w:jc w:val="both"/>
              <w:rPr>
                <w:b/>
                <w:i/>
                <w:sz w:val="18"/>
                <w:szCs w:val="20"/>
              </w:rPr>
            </w:pPr>
            <w:r w:rsidRPr="00B55BD4">
              <w:rPr>
                <w:b/>
                <w:i/>
                <w:sz w:val="18"/>
                <w:szCs w:val="20"/>
              </w:rPr>
              <w:t>zaliczyć:</w:t>
            </w:r>
          </w:p>
          <w:p w14:paraId="181E51C5" w14:textId="50E58AA9" w:rsidR="0046665F" w:rsidRPr="00B55BD4" w:rsidRDefault="0046665F" w:rsidP="0046665F">
            <w:pPr>
              <w:jc w:val="both"/>
              <w:rPr>
                <w:b/>
                <w:i/>
                <w:sz w:val="18"/>
                <w:szCs w:val="20"/>
              </w:rPr>
            </w:pPr>
            <w:r w:rsidRPr="00B55BD4">
              <w:rPr>
                <w:b/>
                <w:i/>
                <w:sz w:val="18"/>
                <w:szCs w:val="20"/>
              </w:rPr>
              <w:t>1. Krótki czas na zrealizowanie projektu w kontekście jego zakładanego zakresu. Ryzyko wysokie. Biorąc pod uwagę problemy oraz przeciągający się proces wyłaniania kluczowych wykonawców, końcowa realizacja projektu kumulowała wszystkie istotne dla osiągnięcia zakładanych wskaźników zadania. Pomimo racjonalnego harmonogramu realizacji poszczególnych zadań, opóźnienia wynikające z przeciągających si</w:t>
            </w:r>
            <w:r w:rsidR="005C20EC">
              <w:rPr>
                <w:b/>
                <w:i/>
                <w:sz w:val="18"/>
                <w:szCs w:val="20"/>
              </w:rPr>
              <w:t>ę</w:t>
            </w:r>
            <w:r w:rsidRPr="00B55BD4">
              <w:rPr>
                <w:b/>
                <w:i/>
                <w:sz w:val="18"/>
                <w:szCs w:val="20"/>
              </w:rPr>
              <w:t xml:space="preserve"> procedur wpływały na terminowość realizacji zadań. </w:t>
            </w:r>
            <w:r w:rsidR="005C20EC">
              <w:rPr>
                <w:b/>
                <w:i/>
                <w:sz w:val="18"/>
                <w:szCs w:val="20"/>
              </w:rPr>
              <w:t>Ryzyko zostało obsłużone poprzez zwiększenie zaangażowania</w:t>
            </w:r>
            <w:r w:rsidRPr="00B55BD4">
              <w:rPr>
                <w:b/>
                <w:i/>
                <w:sz w:val="18"/>
                <w:szCs w:val="20"/>
              </w:rPr>
              <w:t xml:space="preserve"> personelu realizującego projekt udało się osiągnąć wszystkie kamienie milowe oraz wskaźniki projektu. W przypadku NIZP-PZH nie było możliwości na przedłużenie realizacji projektu. </w:t>
            </w:r>
          </w:p>
          <w:p w14:paraId="5E33B0FB" w14:textId="7FF5001E" w:rsidR="0046665F" w:rsidRPr="00B55BD4" w:rsidRDefault="0046665F" w:rsidP="0046665F">
            <w:pPr>
              <w:jc w:val="both"/>
              <w:rPr>
                <w:b/>
                <w:i/>
                <w:sz w:val="18"/>
                <w:szCs w:val="20"/>
              </w:rPr>
            </w:pPr>
            <w:r w:rsidRPr="00B55BD4">
              <w:rPr>
                <w:b/>
                <w:i/>
                <w:sz w:val="18"/>
                <w:szCs w:val="20"/>
              </w:rPr>
              <w:t xml:space="preserve">2. Możliwość niedoszacowania lub przeszacowania. Ryzyko wysokie. Niedoszacowanie skutkuje brakiem możliwości pozyskania rzetelnego wykonawcy w oparciu o założone kryteria czasu i budżetu. Zaś przeszacowanie wynikające z poczynionych rozeznań rynku może ostatecznie generować duże oszczędności, które przy tak ograniczonym czasie na realizację zadań nie mogą zostać przeznaczone na dodatkowe działania w projekcie w celu zwiększenia np. jego oddziaływania. </w:t>
            </w:r>
            <w:r w:rsidR="005C20EC">
              <w:rPr>
                <w:b/>
                <w:i/>
                <w:sz w:val="18"/>
                <w:szCs w:val="20"/>
              </w:rPr>
              <w:t xml:space="preserve">Dzięki oszczędnościom powstałym w wyniku prowadzonych postępowań na realizację zadań związanych z digitalizacją zasobów możliwe było przeprowadzenie dodatkowego postępowania, co tym samym wpłynęło na zwiększenie wskaźnika </w:t>
            </w:r>
            <w:proofErr w:type="spellStart"/>
            <w:r w:rsidR="005C20EC">
              <w:rPr>
                <w:b/>
                <w:i/>
                <w:sz w:val="18"/>
                <w:szCs w:val="20"/>
              </w:rPr>
              <w:t>zdigitalizowanych</w:t>
            </w:r>
            <w:proofErr w:type="spellEnd"/>
            <w:r w:rsidR="005C20EC">
              <w:rPr>
                <w:b/>
                <w:i/>
                <w:sz w:val="18"/>
                <w:szCs w:val="20"/>
              </w:rPr>
              <w:t xml:space="preserve"> obiektów. Pozostała, niewydatkowana kwota postanowią została do dyspozycji Instytucji Pośredniczącej poprzez podpisanie aneksu zmniejszającego wartość projektu.</w:t>
            </w:r>
          </w:p>
          <w:p w14:paraId="001972CA" w14:textId="61FE4BD9" w:rsidR="00B55BD4" w:rsidRPr="00B55BD4" w:rsidRDefault="0046665F" w:rsidP="00B55BD4">
            <w:pPr>
              <w:jc w:val="both"/>
              <w:rPr>
                <w:b/>
                <w:i/>
                <w:sz w:val="18"/>
                <w:szCs w:val="20"/>
              </w:rPr>
            </w:pPr>
            <w:r w:rsidRPr="00B55BD4">
              <w:rPr>
                <w:b/>
                <w:i/>
                <w:sz w:val="18"/>
                <w:szCs w:val="20"/>
              </w:rPr>
              <w:t xml:space="preserve">3. </w:t>
            </w:r>
            <w:r w:rsidR="00B55BD4" w:rsidRPr="00B55BD4">
              <w:rPr>
                <w:b/>
                <w:i/>
                <w:sz w:val="18"/>
                <w:szCs w:val="20"/>
              </w:rPr>
              <w:t xml:space="preserve">Zmiana personelu w trakcie realizacji zadania. </w:t>
            </w:r>
            <w:r w:rsidRPr="00B55BD4">
              <w:rPr>
                <w:b/>
                <w:i/>
                <w:sz w:val="18"/>
                <w:szCs w:val="20"/>
              </w:rPr>
              <w:t xml:space="preserve">Ryzyko </w:t>
            </w:r>
            <w:r w:rsidR="00B55BD4" w:rsidRPr="00B55BD4">
              <w:rPr>
                <w:b/>
                <w:i/>
                <w:sz w:val="18"/>
                <w:szCs w:val="20"/>
              </w:rPr>
              <w:t>wysokie</w:t>
            </w:r>
            <w:r w:rsidRPr="00B55BD4">
              <w:rPr>
                <w:b/>
                <w:i/>
                <w:sz w:val="18"/>
                <w:szCs w:val="20"/>
              </w:rPr>
              <w:t>. Podjęcie realizacji tak dużego projektu informatycznego wymaga</w:t>
            </w:r>
            <w:r w:rsidR="00B55BD4" w:rsidRPr="00B55BD4">
              <w:rPr>
                <w:b/>
                <w:i/>
                <w:sz w:val="18"/>
                <w:szCs w:val="20"/>
              </w:rPr>
              <w:t xml:space="preserve"> </w:t>
            </w:r>
            <w:r w:rsidRPr="00B55BD4">
              <w:rPr>
                <w:b/>
                <w:i/>
                <w:sz w:val="18"/>
                <w:szCs w:val="20"/>
              </w:rPr>
              <w:t xml:space="preserve">zaangażowania </w:t>
            </w:r>
            <w:r w:rsidR="00B55BD4" w:rsidRPr="00B55BD4">
              <w:rPr>
                <w:b/>
                <w:i/>
                <w:sz w:val="18"/>
                <w:szCs w:val="20"/>
              </w:rPr>
              <w:t>wykwalifikowanych</w:t>
            </w:r>
            <w:r w:rsidRPr="00B55BD4">
              <w:rPr>
                <w:b/>
                <w:i/>
                <w:sz w:val="18"/>
                <w:szCs w:val="20"/>
              </w:rPr>
              <w:t xml:space="preserve"> zasobów ludzkich przy </w:t>
            </w:r>
            <w:r w:rsidRPr="00B55BD4">
              <w:rPr>
                <w:b/>
                <w:i/>
                <w:sz w:val="18"/>
                <w:szCs w:val="20"/>
              </w:rPr>
              <w:lastRenderedPageBreak/>
              <w:t>zapewnieniu realizacji</w:t>
            </w:r>
            <w:r w:rsidR="00B55BD4" w:rsidRPr="00B55BD4">
              <w:rPr>
                <w:b/>
                <w:i/>
                <w:sz w:val="18"/>
                <w:szCs w:val="20"/>
              </w:rPr>
              <w:t xml:space="preserve"> </w:t>
            </w:r>
            <w:r w:rsidRPr="00B55BD4">
              <w:rPr>
                <w:b/>
                <w:i/>
                <w:sz w:val="18"/>
                <w:szCs w:val="20"/>
              </w:rPr>
              <w:t xml:space="preserve">dotychczasowych zadań. </w:t>
            </w:r>
            <w:r w:rsidR="005C20EC">
              <w:rPr>
                <w:b/>
                <w:i/>
                <w:sz w:val="18"/>
                <w:szCs w:val="20"/>
              </w:rPr>
              <w:t xml:space="preserve">Część pierwotnie zaangażowanego personelu nie podołała wymaganiom projektowym. Nastąpiła zmiana części personelu. </w:t>
            </w:r>
            <w:r w:rsidR="00B55BD4" w:rsidRPr="00B55BD4">
              <w:rPr>
                <w:b/>
                <w:i/>
                <w:sz w:val="18"/>
                <w:szCs w:val="20"/>
              </w:rPr>
              <w:t>Zmiana personelu p</w:t>
            </w:r>
            <w:r w:rsidRPr="00B55BD4">
              <w:rPr>
                <w:b/>
                <w:i/>
                <w:sz w:val="18"/>
                <w:szCs w:val="20"/>
              </w:rPr>
              <w:t>owoduje dodatkowe obciążenie pracą, ryzyko</w:t>
            </w:r>
            <w:r w:rsidR="00B55BD4" w:rsidRPr="00B55BD4">
              <w:rPr>
                <w:b/>
                <w:i/>
                <w:sz w:val="18"/>
                <w:szCs w:val="20"/>
              </w:rPr>
              <w:t xml:space="preserve"> </w:t>
            </w:r>
            <w:r w:rsidRPr="00B55BD4">
              <w:rPr>
                <w:b/>
                <w:i/>
                <w:sz w:val="18"/>
                <w:szCs w:val="20"/>
              </w:rPr>
              <w:t>niewywiązania się z nałożonych obowiązków, wzrost niezadowolenia pracowników</w:t>
            </w:r>
            <w:r w:rsidR="00B55BD4" w:rsidRPr="00B55BD4">
              <w:rPr>
                <w:b/>
                <w:i/>
                <w:sz w:val="18"/>
                <w:szCs w:val="20"/>
              </w:rPr>
              <w:t xml:space="preserve"> </w:t>
            </w:r>
            <w:r w:rsidRPr="00B55BD4">
              <w:rPr>
                <w:b/>
                <w:i/>
                <w:sz w:val="18"/>
                <w:szCs w:val="20"/>
              </w:rPr>
              <w:t xml:space="preserve">i dodatkową presję </w:t>
            </w:r>
            <w:r w:rsidR="00B55BD4" w:rsidRPr="00B55BD4">
              <w:rPr>
                <w:b/>
                <w:i/>
                <w:sz w:val="18"/>
                <w:szCs w:val="20"/>
              </w:rPr>
              <w:t xml:space="preserve">związaną z kontynuacją rozpoczętych zadań. Powierzenie kluczowych stanowisk w projekcie personelowi z małym doświadczeniem skutkuje pojawieniem się dużej ilości błędów już na samym starcie, z którymi nowy personel musi się zmierzyć, a które bardzo często są ciężkie do poprawienia. </w:t>
            </w:r>
            <w:r w:rsidRPr="00B55BD4">
              <w:rPr>
                <w:b/>
                <w:i/>
                <w:sz w:val="18"/>
                <w:szCs w:val="20"/>
              </w:rPr>
              <w:t>Był to jeden z kluczowych problemów, z którymi</w:t>
            </w:r>
            <w:r w:rsidR="00B55BD4" w:rsidRPr="00B55BD4">
              <w:rPr>
                <w:b/>
                <w:i/>
                <w:sz w:val="18"/>
                <w:szCs w:val="20"/>
              </w:rPr>
              <w:t xml:space="preserve"> Instytut</w:t>
            </w:r>
            <w:r w:rsidRPr="00B55BD4">
              <w:rPr>
                <w:b/>
                <w:i/>
                <w:sz w:val="18"/>
                <w:szCs w:val="20"/>
              </w:rPr>
              <w:t xml:space="preserve"> musiał zmierzyć się podczas realizacji projektu. </w:t>
            </w:r>
          </w:p>
          <w:p w14:paraId="6B556E8C" w14:textId="77777777" w:rsidR="00525DCF" w:rsidRPr="00B55BD4" w:rsidRDefault="00525DCF" w:rsidP="0046665F">
            <w:pPr>
              <w:jc w:val="both"/>
              <w:rPr>
                <w:b/>
                <w:i/>
                <w:sz w:val="18"/>
                <w:szCs w:val="20"/>
              </w:rPr>
            </w:pPr>
          </w:p>
        </w:tc>
      </w:tr>
      <w:tr w:rsidR="00525DCF" w:rsidRPr="002450C4" w14:paraId="780B3397" w14:textId="77777777" w:rsidTr="00D70D9B">
        <w:tc>
          <w:tcPr>
            <w:tcW w:w="568" w:type="dxa"/>
          </w:tcPr>
          <w:p w14:paraId="66E82C56" w14:textId="77777777" w:rsidR="00525DCF" w:rsidRPr="002450C4" w:rsidRDefault="00525DCF" w:rsidP="00EB22EF">
            <w:pPr>
              <w:pStyle w:val="Akapitzlist"/>
              <w:numPr>
                <w:ilvl w:val="0"/>
                <w:numId w:val="1"/>
              </w:numPr>
              <w:rPr>
                <w:sz w:val="18"/>
                <w:szCs w:val="20"/>
              </w:rPr>
            </w:pPr>
          </w:p>
        </w:tc>
        <w:tc>
          <w:tcPr>
            <w:tcW w:w="1525" w:type="dxa"/>
          </w:tcPr>
          <w:p w14:paraId="73F9D1BB" w14:textId="77777777" w:rsidR="00525DCF" w:rsidRDefault="00525DCF" w:rsidP="00EB22EF">
            <w:pPr>
              <w:rPr>
                <w:sz w:val="18"/>
                <w:szCs w:val="20"/>
              </w:rPr>
            </w:pPr>
            <w:r>
              <w:rPr>
                <w:sz w:val="18"/>
                <w:szCs w:val="20"/>
              </w:rPr>
              <w:t xml:space="preserve">Uzyskane korzyści </w:t>
            </w:r>
          </w:p>
        </w:tc>
        <w:tc>
          <w:tcPr>
            <w:tcW w:w="7390" w:type="dxa"/>
          </w:tcPr>
          <w:p w14:paraId="51EFE1C0" w14:textId="77777777" w:rsidR="00187A71" w:rsidRPr="001E1BB2" w:rsidRDefault="00187A71" w:rsidP="00187A71">
            <w:pPr>
              <w:jc w:val="both"/>
              <w:rPr>
                <w:b/>
                <w:bCs/>
                <w:i/>
                <w:sz w:val="18"/>
                <w:szCs w:val="20"/>
              </w:rPr>
            </w:pPr>
            <w:r w:rsidRPr="001E1BB2">
              <w:rPr>
                <w:b/>
                <w:bCs/>
                <w:i/>
                <w:sz w:val="18"/>
                <w:szCs w:val="20"/>
              </w:rPr>
              <w:t>Główną korzyścią wynikającą z budowy Systemu jest niewątpliwie umożliwienie wszystkim zainteresowanym i uprawnionym stronom dostępu do informacji posiadanych przez NIZP-PZH będących ISP w celu ponownego wykorzystania informacji. Główną funkcjonalnością Systemu jest integracja wszystkich źródeł danych posiadanych i pozyskiwanych przez NIZP-PZH w taki sposób, aby dla wszystkich udostępnianych informacji zachowany został odpowiedni poziom bezpieczeństwa w związku z przetwarzaniem danych wrażliwych. W tym celu System integruje dane z istniejących w NIZP-PZH systemów informatycznych oraz umożliwia wprowadzanie danych do Systemu bezpośrednio przez uczestników procesu gromadzenia informacji (pracownicy: PSSE, GSSE, WSSE, laboratoriów, NIZP-PZH). Takie rozwiązanie już na samym początku „życia” Systemu przyczyniło się do optymalizacji procesu gromadzenia i przetwarzania danych w całym systemie obejmującym nadzór epidemiologiczny oraz urzędową kontrolę żywności na terenie całego kraju oraz zapewni trwałość projektu pod względem utrzymania aktualnej, systematycznie uzupełnianej bazy danych.</w:t>
            </w:r>
          </w:p>
          <w:p w14:paraId="45311984" w14:textId="77777777" w:rsidR="00525DCF" w:rsidRDefault="00187A71" w:rsidP="001E1BB2">
            <w:pPr>
              <w:jc w:val="both"/>
              <w:rPr>
                <w:b/>
                <w:bCs/>
                <w:i/>
                <w:sz w:val="18"/>
                <w:szCs w:val="20"/>
              </w:rPr>
            </w:pPr>
            <w:r w:rsidRPr="001E1BB2">
              <w:rPr>
                <w:b/>
                <w:bCs/>
                <w:i/>
                <w:sz w:val="18"/>
                <w:szCs w:val="20"/>
              </w:rPr>
              <w:t>Dzięki przyjętym dla Projektu założeniom zgodnym z Krajowymi Ramami Interoperacyjności (Rozporządzenie Rady Ministrów z dnia 12 kwietnia 2012 r. w sprawie Krajowych Ram Interoperacyjności, minimalnych wymagań dla rejestrów publicznych i wymiany informacji w postaci elektronicznej oraz minimalnych wymagań dla systemów teleinformatycznych) możliwa jest komunikacja Systemu oraz wymiana danych z innymi systemami przy zachowaniu odpowiedniego poziomu bezpieczeństw</w:t>
            </w:r>
            <w:r w:rsidR="001E1BB2" w:rsidRPr="001E1BB2">
              <w:rPr>
                <w:b/>
                <w:bCs/>
                <w:i/>
                <w:sz w:val="18"/>
                <w:szCs w:val="20"/>
              </w:rPr>
              <w:t>a.</w:t>
            </w:r>
            <w:r w:rsidR="001E1BB2" w:rsidRPr="001E1BB2">
              <w:rPr>
                <w:b/>
              </w:rPr>
              <w:t xml:space="preserve"> </w:t>
            </w:r>
            <w:r w:rsidR="001E1BB2" w:rsidRPr="001E1BB2">
              <w:rPr>
                <w:b/>
                <w:bCs/>
                <w:i/>
                <w:sz w:val="18"/>
                <w:szCs w:val="20"/>
              </w:rPr>
              <w:t xml:space="preserve">Portal ISP jest dostępny pod adresem </w:t>
            </w:r>
            <w:hyperlink r:id="rId7" w:history="1">
              <w:r w:rsidR="001E1BB2" w:rsidRPr="001E1BB2">
                <w:rPr>
                  <w:rStyle w:val="Hipercze"/>
                  <w:b/>
                  <w:bCs/>
                  <w:i/>
                  <w:sz w:val="18"/>
                  <w:szCs w:val="20"/>
                </w:rPr>
                <w:t>http://isp-szkolenia.pzh.gov.pl</w:t>
              </w:r>
            </w:hyperlink>
            <w:r w:rsidRPr="001E1BB2">
              <w:rPr>
                <w:b/>
                <w:bCs/>
                <w:i/>
                <w:sz w:val="18"/>
                <w:szCs w:val="20"/>
              </w:rPr>
              <w:t>.</w:t>
            </w:r>
            <w:r w:rsidR="001E1BB2" w:rsidRPr="001E1BB2">
              <w:rPr>
                <w:b/>
                <w:bCs/>
                <w:i/>
                <w:sz w:val="18"/>
                <w:szCs w:val="20"/>
              </w:rPr>
              <w:t xml:space="preserve"> </w:t>
            </w:r>
          </w:p>
          <w:p w14:paraId="07ACB406" w14:textId="77777777" w:rsidR="008E76F7" w:rsidRDefault="008E76F7" w:rsidP="001E1BB2">
            <w:pPr>
              <w:jc w:val="both"/>
              <w:rPr>
                <w:b/>
                <w:bCs/>
                <w:i/>
                <w:sz w:val="18"/>
                <w:szCs w:val="20"/>
              </w:rPr>
            </w:pPr>
            <w:r>
              <w:rPr>
                <w:b/>
                <w:bCs/>
                <w:i/>
                <w:sz w:val="18"/>
                <w:szCs w:val="20"/>
              </w:rPr>
              <w:t>Faktyczne (wymierne) korzyści wynikające z zakończenia projektu, w tym w szczególności wykorzystanie usług/produktów Systemu będą mierzone w szczególności poprzez:</w:t>
            </w:r>
          </w:p>
          <w:p w14:paraId="20B09767" w14:textId="77777777" w:rsidR="008E76F7" w:rsidRDefault="008E76F7" w:rsidP="001E1BB2">
            <w:pPr>
              <w:jc w:val="both"/>
              <w:rPr>
                <w:b/>
                <w:bCs/>
                <w:i/>
                <w:sz w:val="18"/>
                <w:szCs w:val="20"/>
              </w:rPr>
            </w:pPr>
            <w:r>
              <w:rPr>
                <w:b/>
                <w:bCs/>
                <w:i/>
                <w:sz w:val="18"/>
                <w:szCs w:val="20"/>
              </w:rPr>
              <w:t>1) liczbę zgłoszeń dokonywanych przez stacje sanitarno-epidemiologiczne, co będzie powiększało liczbę dostępnych danych w całym Systemie – dla projektu ustalono wskaźnik pobrań udostępnionych zasobów na poziomie 500.000, który powinien zostać osiągnięty w lipcu 2020 r.</w:t>
            </w:r>
          </w:p>
          <w:p w14:paraId="7AB47576" w14:textId="47200596" w:rsidR="008E76F7" w:rsidRPr="008E76F7" w:rsidRDefault="008E76F7" w:rsidP="001E1BB2">
            <w:pPr>
              <w:jc w:val="both"/>
              <w:rPr>
                <w:b/>
                <w:bCs/>
                <w:i/>
                <w:sz w:val="18"/>
                <w:szCs w:val="20"/>
              </w:rPr>
            </w:pPr>
            <w:r>
              <w:rPr>
                <w:b/>
                <w:bCs/>
                <w:i/>
                <w:sz w:val="18"/>
                <w:szCs w:val="20"/>
              </w:rPr>
              <w:t>2) okresowe ankiety wykonywane wśród użytkowników systemu, sprawdzające poziom użyteczności poszczególnych modułów Systemu. Analiza korzyści będzie dostępna na portali ISP.</w:t>
            </w:r>
          </w:p>
        </w:tc>
      </w:tr>
      <w:tr w:rsidR="00525DCF" w:rsidRPr="002450C4" w14:paraId="131619A4" w14:textId="77777777" w:rsidTr="00D70D9B">
        <w:tc>
          <w:tcPr>
            <w:tcW w:w="568" w:type="dxa"/>
          </w:tcPr>
          <w:p w14:paraId="60C70E48" w14:textId="6F1917DE" w:rsidR="00525DCF" w:rsidRPr="002450C4" w:rsidRDefault="00525DCF" w:rsidP="00EB22EF">
            <w:pPr>
              <w:pStyle w:val="Akapitzlist"/>
              <w:numPr>
                <w:ilvl w:val="0"/>
                <w:numId w:val="1"/>
              </w:numPr>
              <w:rPr>
                <w:sz w:val="18"/>
                <w:szCs w:val="20"/>
              </w:rPr>
            </w:pPr>
          </w:p>
        </w:tc>
        <w:tc>
          <w:tcPr>
            <w:tcW w:w="1525" w:type="dxa"/>
          </w:tcPr>
          <w:p w14:paraId="4F7BC5AF" w14:textId="77777777" w:rsidR="00525DCF" w:rsidRDefault="00525DCF" w:rsidP="00EB22EF">
            <w:pPr>
              <w:rPr>
                <w:sz w:val="18"/>
                <w:szCs w:val="20"/>
              </w:rPr>
            </w:pPr>
            <w:r>
              <w:rPr>
                <w:sz w:val="18"/>
                <w:szCs w:val="20"/>
              </w:rPr>
              <w:t>E-usługi i r</w:t>
            </w:r>
            <w:r w:rsidRPr="00F82254">
              <w:rPr>
                <w:sz w:val="18"/>
                <w:szCs w:val="20"/>
              </w:rPr>
              <w:t>ejestry z jakimi zintegrował się wytworzony system w ramach realizacji projektu</w:t>
            </w:r>
          </w:p>
        </w:tc>
        <w:tc>
          <w:tcPr>
            <w:tcW w:w="7390" w:type="dxa"/>
          </w:tcPr>
          <w:p w14:paraId="5A5BA922" w14:textId="77777777" w:rsidR="002615D2" w:rsidRDefault="002615D2" w:rsidP="002F0966">
            <w:pPr>
              <w:jc w:val="both"/>
              <w:rPr>
                <w:b/>
                <w:i/>
                <w:sz w:val="18"/>
                <w:szCs w:val="18"/>
              </w:rPr>
            </w:pPr>
            <w:r>
              <w:rPr>
                <w:b/>
                <w:i/>
                <w:sz w:val="18"/>
                <w:szCs w:val="18"/>
              </w:rPr>
              <w:t>Za pośrednictwem portalu ISP udostępniono następujące informacje sektora publicznego:</w:t>
            </w:r>
          </w:p>
          <w:p w14:paraId="09746009" w14:textId="77777777" w:rsidR="002615D2" w:rsidRPr="002615D2" w:rsidRDefault="002615D2" w:rsidP="002615D2">
            <w:pPr>
              <w:jc w:val="both"/>
              <w:rPr>
                <w:b/>
                <w:i/>
                <w:sz w:val="18"/>
                <w:szCs w:val="18"/>
              </w:rPr>
            </w:pPr>
            <w:r>
              <w:rPr>
                <w:b/>
                <w:i/>
                <w:sz w:val="18"/>
                <w:szCs w:val="18"/>
              </w:rPr>
              <w:t>1) Informacje z zakresu Epidemiologii w Polsce;</w:t>
            </w:r>
          </w:p>
          <w:p w14:paraId="5094F536" w14:textId="77777777" w:rsidR="002615D2" w:rsidRDefault="002615D2" w:rsidP="002615D2">
            <w:pPr>
              <w:jc w:val="both"/>
              <w:rPr>
                <w:b/>
                <w:i/>
                <w:sz w:val="18"/>
                <w:szCs w:val="18"/>
              </w:rPr>
            </w:pPr>
            <w:r w:rsidRPr="002615D2">
              <w:rPr>
                <w:b/>
                <w:i/>
                <w:sz w:val="18"/>
                <w:szCs w:val="18"/>
              </w:rPr>
              <w:t>2) Informacje z zakresu</w:t>
            </w:r>
            <w:r>
              <w:rPr>
                <w:b/>
                <w:i/>
                <w:sz w:val="18"/>
                <w:szCs w:val="18"/>
              </w:rPr>
              <w:t xml:space="preserve"> Bezpieczeństwa Żywności w Pol</w:t>
            </w:r>
            <w:r w:rsidRPr="002615D2">
              <w:rPr>
                <w:b/>
                <w:i/>
                <w:sz w:val="18"/>
                <w:szCs w:val="18"/>
              </w:rPr>
              <w:t>sce.</w:t>
            </w:r>
          </w:p>
          <w:p w14:paraId="7D8FFE71" w14:textId="77777777" w:rsidR="002F0966" w:rsidRPr="002F0966" w:rsidRDefault="002F0966" w:rsidP="002F0966">
            <w:pPr>
              <w:jc w:val="both"/>
              <w:rPr>
                <w:b/>
                <w:i/>
                <w:sz w:val="18"/>
                <w:szCs w:val="18"/>
              </w:rPr>
            </w:pPr>
            <w:r w:rsidRPr="002F0966">
              <w:rPr>
                <w:b/>
                <w:i/>
                <w:sz w:val="18"/>
                <w:szCs w:val="18"/>
              </w:rPr>
              <w:t xml:space="preserve">Portal ISP jest dostępny pod adresem </w:t>
            </w:r>
            <w:hyperlink r:id="rId8" w:history="1">
              <w:r w:rsidRPr="002F0966">
                <w:rPr>
                  <w:rStyle w:val="Hipercze"/>
                  <w:b/>
                  <w:i/>
                  <w:sz w:val="18"/>
                  <w:szCs w:val="18"/>
                </w:rPr>
                <w:t>http://isp-szkolenia.pzh.gov.pl</w:t>
              </w:r>
            </w:hyperlink>
            <w:r w:rsidRPr="002F0966">
              <w:rPr>
                <w:b/>
                <w:i/>
                <w:sz w:val="18"/>
                <w:szCs w:val="18"/>
              </w:rPr>
              <w:t xml:space="preserve"> </w:t>
            </w:r>
          </w:p>
          <w:p w14:paraId="18212F7D" w14:textId="77777777" w:rsidR="00525DCF" w:rsidRPr="002F0966" w:rsidRDefault="002F0966" w:rsidP="002F0966">
            <w:pPr>
              <w:jc w:val="both"/>
              <w:rPr>
                <w:b/>
                <w:i/>
                <w:sz w:val="18"/>
                <w:szCs w:val="18"/>
              </w:rPr>
            </w:pPr>
            <w:r w:rsidRPr="002F0966">
              <w:rPr>
                <w:b/>
                <w:i/>
                <w:sz w:val="18"/>
                <w:szCs w:val="18"/>
              </w:rPr>
              <w:t>Dodatkowo dla uprawnionych pracowników stacji PSSE, WSSE oraz NIZP-PZH jest dostępny System Rejestracji Wywiadów Epidemiologicznych (</w:t>
            </w:r>
            <w:proofErr w:type="spellStart"/>
            <w:r w:rsidRPr="002F0966">
              <w:rPr>
                <w:b/>
                <w:i/>
                <w:sz w:val="18"/>
                <w:szCs w:val="18"/>
              </w:rPr>
              <w:t>EpiArch</w:t>
            </w:r>
            <w:proofErr w:type="spellEnd"/>
            <w:r w:rsidRPr="002F0966">
              <w:rPr>
                <w:b/>
                <w:i/>
                <w:sz w:val="18"/>
                <w:szCs w:val="18"/>
              </w:rPr>
              <w:t xml:space="preserve">) dostępny pod adresem: </w:t>
            </w:r>
            <w:hyperlink r:id="rId9" w:history="1">
              <w:r w:rsidRPr="002F0966">
                <w:rPr>
                  <w:rStyle w:val="Hipercze"/>
                  <w:b/>
                  <w:i/>
                  <w:sz w:val="18"/>
                  <w:szCs w:val="18"/>
                </w:rPr>
                <w:t>https://nadzor.pzh.gov.pl/</w:t>
              </w:r>
            </w:hyperlink>
            <w:r w:rsidRPr="002F0966">
              <w:rPr>
                <w:b/>
                <w:i/>
                <w:sz w:val="18"/>
                <w:szCs w:val="18"/>
              </w:rPr>
              <w:t xml:space="preserve"> </w:t>
            </w:r>
          </w:p>
          <w:p w14:paraId="4C277A65" w14:textId="77777777" w:rsidR="002F0966" w:rsidRPr="002F0966" w:rsidRDefault="002F0966" w:rsidP="002F0966">
            <w:pPr>
              <w:jc w:val="both"/>
              <w:rPr>
                <w:b/>
                <w:bCs/>
                <w:i/>
                <w:sz w:val="18"/>
                <w:szCs w:val="20"/>
              </w:rPr>
            </w:pPr>
            <w:r w:rsidRPr="002F0966">
              <w:rPr>
                <w:b/>
                <w:bCs/>
                <w:i/>
                <w:sz w:val="18"/>
                <w:szCs w:val="20"/>
              </w:rPr>
              <w:t>Obecnie w systemie jest zarejestrowanych 339 podmiotów zewnętrznych.</w:t>
            </w:r>
          </w:p>
          <w:p w14:paraId="218F4012" w14:textId="77777777" w:rsidR="002F0966" w:rsidRPr="002F0966" w:rsidRDefault="002F0966" w:rsidP="002F0966">
            <w:pPr>
              <w:jc w:val="both"/>
              <w:rPr>
                <w:b/>
                <w:bCs/>
                <w:i/>
                <w:sz w:val="18"/>
                <w:szCs w:val="20"/>
              </w:rPr>
            </w:pPr>
            <w:r w:rsidRPr="002F0966">
              <w:rPr>
                <w:b/>
                <w:bCs/>
                <w:i/>
                <w:sz w:val="18"/>
                <w:szCs w:val="20"/>
              </w:rPr>
              <w:t xml:space="preserve">W ramach </w:t>
            </w:r>
            <w:proofErr w:type="spellStart"/>
            <w:r w:rsidRPr="002F0966">
              <w:rPr>
                <w:b/>
                <w:bCs/>
                <w:i/>
                <w:sz w:val="18"/>
                <w:szCs w:val="20"/>
              </w:rPr>
              <w:t>EpiBazy</w:t>
            </w:r>
            <w:proofErr w:type="spellEnd"/>
            <w:r w:rsidRPr="002F0966">
              <w:rPr>
                <w:b/>
                <w:bCs/>
                <w:i/>
                <w:sz w:val="18"/>
                <w:szCs w:val="20"/>
              </w:rPr>
              <w:t xml:space="preserve"> wytworzone zostały klucze API w następujących obszarach:</w:t>
            </w:r>
          </w:p>
          <w:p w14:paraId="0F99C20B" w14:textId="77777777" w:rsidR="002F0966" w:rsidRPr="002F0966" w:rsidRDefault="002F0966" w:rsidP="002F0966">
            <w:pPr>
              <w:jc w:val="both"/>
              <w:rPr>
                <w:b/>
                <w:bCs/>
                <w:i/>
                <w:sz w:val="18"/>
                <w:szCs w:val="20"/>
              </w:rPr>
            </w:pPr>
            <w:r w:rsidRPr="002F0966">
              <w:rPr>
                <w:b/>
                <w:bCs/>
                <w:i/>
                <w:sz w:val="18"/>
                <w:szCs w:val="20"/>
              </w:rPr>
              <w:t>•</w:t>
            </w:r>
            <w:r w:rsidRPr="002F0966">
              <w:rPr>
                <w:b/>
                <w:bCs/>
                <w:i/>
                <w:sz w:val="18"/>
                <w:szCs w:val="20"/>
              </w:rPr>
              <w:tab/>
              <w:t xml:space="preserve">API System Chorobowości Szpitalnej </w:t>
            </w:r>
          </w:p>
          <w:p w14:paraId="18B5C8C3" w14:textId="77777777" w:rsidR="002F0966" w:rsidRPr="002F0966" w:rsidRDefault="002F0966" w:rsidP="002F0966">
            <w:pPr>
              <w:jc w:val="both"/>
              <w:rPr>
                <w:b/>
                <w:bCs/>
                <w:i/>
                <w:sz w:val="18"/>
                <w:szCs w:val="20"/>
              </w:rPr>
            </w:pPr>
            <w:r w:rsidRPr="002F0966">
              <w:rPr>
                <w:b/>
                <w:bCs/>
                <w:i/>
                <w:sz w:val="18"/>
                <w:szCs w:val="20"/>
              </w:rPr>
              <w:t>•</w:t>
            </w:r>
            <w:r w:rsidRPr="002F0966">
              <w:rPr>
                <w:b/>
                <w:bCs/>
                <w:i/>
                <w:sz w:val="18"/>
                <w:szCs w:val="20"/>
              </w:rPr>
              <w:tab/>
              <w:t>API System Rejestracji Ognisk Epidemicznych</w:t>
            </w:r>
          </w:p>
          <w:p w14:paraId="10E38D20" w14:textId="77777777" w:rsidR="002F0966" w:rsidRPr="002F0966" w:rsidRDefault="002F0966" w:rsidP="002F0966">
            <w:pPr>
              <w:jc w:val="both"/>
              <w:rPr>
                <w:b/>
                <w:bCs/>
                <w:i/>
                <w:sz w:val="18"/>
                <w:szCs w:val="20"/>
              </w:rPr>
            </w:pPr>
            <w:r w:rsidRPr="002F0966">
              <w:rPr>
                <w:b/>
                <w:bCs/>
                <w:i/>
                <w:sz w:val="18"/>
                <w:szCs w:val="20"/>
              </w:rPr>
              <w:t>•</w:t>
            </w:r>
            <w:r w:rsidRPr="002F0966">
              <w:rPr>
                <w:b/>
                <w:bCs/>
                <w:i/>
                <w:sz w:val="18"/>
                <w:szCs w:val="20"/>
              </w:rPr>
              <w:tab/>
              <w:t>API Zgłoszenia</w:t>
            </w:r>
          </w:p>
          <w:p w14:paraId="04A9C584" w14:textId="77777777" w:rsidR="002F0966" w:rsidRPr="002F0966" w:rsidRDefault="002F0966" w:rsidP="002F0966">
            <w:pPr>
              <w:jc w:val="both"/>
              <w:rPr>
                <w:b/>
                <w:bCs/>
                <w:i/>
                <w:sz w:val="18"/>
                <w:szCs w:val="20"/>
              </w:rPr>
            </w:pPr>
            <w:r w:rsidRPr="002F0966">
              <w:rPr>
                <w:b/>
                <w:bCs/>
                <w:i/>
                <w:sz w:val="18"/>
                <w:szCs w:val="20"/>
              </w:rPr>
              <w:t>•</w:t>
            </w:r>
            <w:r w:rsidRPr="002F0966">
              <w:rPr>
                <w:b/>
                <w:bCs/>
                <w:i/>
                <w:sz w:val="18"/>
                <w:szCs w:val="20"/>
              </w:rPr>
              <w:tab/>
              <w:t>API NOP</w:t>
            </w:r>
          </w:p>
          <w:p w14:paraId="000B17F9" w14:textId="77777777" w:rsidR="002F0966" w:rsidRDefault="002F0966" w:rsidP="002F0966">
            <w:pPr>
              <w:jc w:val="both"/>
              <w:rPr>
                <w:b/>
                <w:bCs/>
                <w:i/>
                <w:sz w:val="18"/>
                <w:szCs w:val="20"/>
              </w:rPr>
            </w:pPr>
            <w:r w:rsidRPr="002F0966">
              <w:rPr>
                <w:b/>
                <w:bCs/>
                <w:i/>
                <w:sz w:val="18"/>
                <w:szCs w:val="20"/>
              </w:rPr>
              <w:t>•</w:t>
            </w:r>
            <w:r w:rsidRPr="002F0966">
              <w:rPr>
                <w:b/>
                <w:bCs/>
                <w:i/>
                <w:sz w:val="18"/>
                <w:szCs w:val="20"/>
              </w:rPr>
              <w:tab/>
              <w:t>API Zaszczepienie</w:t>
            </w:r>
          </w:p>
          <w:p w14:paraId="44A355B7" w14:textId="77777777" w:rsidR="0087151A" w:rsidRDefault="0087151A" w:rsidP="002F0966">
            <w:pPr>
              <w:jc w:val="both"/>
              <w:rPr>
                <w:b/>
                <w:bCs/>
                <w:i/>
                <w:sz w:val="18"/>
                <w:szCs w:val="20"/>
              </w:rPr>
            </w:pPr>
            <w:r>
              <w:rPr>
                <w:b/>
                <w:bCs/>
                <w:i/>
                <w:sz w:val="18"/>
                <w:szCs w:val="20"/>
              </w:rPr>
              <w:t xml:space="preserve">Poniższa </w:t>
            </w:r>
            <w:proofErr w:type="spellStart"/>
            <w:r>
              <w:rPr>
                <w:b/>
                <w:bCs/>
                <w:i/>
                <w:sz w:val="18"/>
                <w:szCs w:val="20"/>
              </w:rPr>
              <w:t>tebale</w:t>
            </w:r>
            <w:proofErr w:type="spellEnd"/>
            <w:r>
              <w:rPr>
                <w:b/>
                <w:bCs/>
                <w:i/>
                <w:sz w:val="18"/>
                <w:szCs w:val="20"/>
              </w:rPr>
              <w:t xml:space="preserve"> przedstawia produkty końcowe Projektu wraz z wyszczególnieniem ich komplementarności z e-usługami i rejestrami już istniejącymi:</w:t>
            </w:r>
          </w:p>
          <w:tbl>
            <w:tblPr>
              <w:tblStyle w:val="Tabela-Siatka"/>
              <w:tblW w:w="5000" w:type="pct"/>
              <w:tblLook w:val="04A0" w:firstRow="1" w:lastRow="0" w:firstColumn="1" w:lastColumn="0" w:noHBand="0" w:noVBand="1"/>
              <w:tblCaption w:val="Produkty końcowe projektu "/>
            </w:tblPr>
            <w:tblGrid>
              <w:gridCol w:w="1885"/>
              <w:gridCol w:w="1266"/>
              <w:gridCol w:w="1427"/>
              <w:gridCol w:w="2631"/>
            </w:tblGrid>
            <w:tr w:rsidR="0087151A" w:rsidRPr="0087151A" w14:paraId="767547BE" w14:textId="77777777" w:rsidTr="0087151A">
              <w:trPr>
                <w:tblHeader/>
              </w:trPr>
              <w:tc>
                <w:tcPr>
                  <w:tcW w:w="1307" w:type="pct"/>
                  <w:shd w:val="clear" w:color="auto" w:fill="D0CECE" w:themeFill="background2" w:themeFillShade="E6"/>
                </w:tcPr>
                <w:p w14:paraId="491C3868" w14:textId="77777777" w:rsidR="0087151A" w:rsidRPr="0087151A" w:rsidRDefault="0087151A" w:rsidP="0087151A">
                  <w:pPr>
                    <w:rPr>
                      <w:b/>
                      <w:bCs/>
                      <w:i/>
                      <w:sz w:val="18"/>
                      <w:szCs w:val="20"/>
                    </w:rPr>
                  </w:pPr>
                  <w:r w:rsidRPr="0087151A">
                    <w:rPr>
                      <w:b/>
                      <w:bCs/>
                      <w:i/>
                      <w:sz w:val="18"/>
                      <w:szCs w:val="20"/>
                    </w:rPr>
                    <w:t>Nazwa produktu</w:t>
                  </w:r>
                </w:p>
              </w:tc>
              <w:tc>
                <w:tcPr>
                  <w:tcW w:w="878" w:type="pct"/>
                  <w:shd w:val="clear" w:color="auto" w:fill="D0CECE" w:themeFill="background2" w:themeFillShade="E6"/>
                </w:tcPr>
                <w:p w14:paraId="5AACB69C" w14:textId="77777777" w:rsidR="0087151A" w:rsidRPr="0087151A" w:rsidRDefault="0087151A" w:rsidP="0087151A">
                  <w:pPr>
                    <w:rPr>
                      <w:b/>
                      <w:bCs/>
                      <w:i/>
                      <w:sz w:val="18"/>
                      <w:szCs w:val="20"/>
                    </w:rPr>
                  </w:pPr>
                  <w:r w:rsidRPr="0087151A">
                    <w:rPr>
                      <w:b/>
                      <w:bCs/>
                      <w:i/>
                      <w:sz w:val="18"/>
                      <w:szCs w:val="20"/>
                    </w:rPr>
                    <w:t>Planowana data wdrożenia</w:t>
                  </w:r>
                </w:p>
              </w:tc>
              <w:tc>
                <w:tcPr>
                  <w:tcW w:w="990" w:type="pct"/>
                  <w:shd w:val="clear" w:color="auto" w:fill="D0CECE" w:themeFill="background2" w:themeFillShade="E6"/>
                </w:tcPr>
                <w:p w14:paraId="2EE66DCB" w14:textId="77777777" w:rsidR="0087151A" w:rsidRPr="0087151A" w:rsidRDefault="0087151A" w:rsidP="0087151A">
                  <w:pPr>
                    <w:rPr>
                      <w:b/>
                      <w:bCs/>
                      <w:i/>
                      <w:sz w:val="18"/>
                      <w:szCs w:val="20"/>
                    </w:rPr>
                  </w:pPr>
                  <w:r w:rsidRPr="0087151A">
                    <w:rPr>
                      <w:b/>
                      <w:bCs/>
                      <w:i/>
                      <w:sz w:val="18"/>
                      <w:szCs w:val="20"/>
                    </w:rPr>
                    <w:t>Rzeczywista data wdrożenia</w:t>
                  </w:r>
                </w:p>
              </w:tc>
              <w:tc>
                <w:tcPr>
                  <w:tcW w:w="1825" w:type="pct"/>
                  <w:shd w:val="clear" w:color="auto" w:fill="D0CECE" w:themeFill="background2" w:themeFillShade="E6"/>
                </w:tcPr>
                <w:p w14:paraId="590EC688" w14:textId="77777777" w:rsidR="0087151A" w:rsidRPr="0087151A" w:rsidRDefault="0087151A" w:rsidP="0087151A">
                  <w:pPr>
                    <w:rPr>
                      <w:b/>
                      <w:bCs/>
                      <w:i/>
                      <w:sz w:val="18"/>
                      <w:szCs w:val="20"/>
                    </w:rPr>
                  </w:pPr>
                  <w:r w:rsidRPr="0087151A">
                    <w:rPr>
                      <w:b/>
                      <w:bCs/>
                      <w:i/>
                      <w:sz w:val="18"/>
                      <w:szCs w:val="20"/>
                    </w:rPr>
                    <w:t xml:space="preserve">Komplementarność względem produktów innych projektów </w:t>
                  </w:r>
                </w:p>
                <w:p w14:paraId="26E33BAE" w14:textId="77777777" w:rsidR="0087151A" w:rsidRPr="0087151A" w:rsidRDefault="0087151A" w:rsidP="0087151A">
                  <w:pPr>
                    <w:rPr>
                      <w:b/>
                      <w:bCs/>
                      <w:i/>
                      <w:sz w:val="18"/>
                      <w:szCs w:val="20"/>
                    </w:rPr>
                  </w:pPr>
                </w:p>
              </w:tc>
            </w:tr>
            <w:tr w:rsidR="0087151A" w:rsidRPr="0087151A" w14:paraId="5B0BB801" w14:textId="77777777" w:rsidTr="0087151A">
              <w:tc>
                <w:tcPr>
                  <w:tcW w:w="1307" w:type="pct"/>
                </w:tcPr>
                <w:p w14:paraId="0C4E3372" w14:textId="77777777" w:rsidR="0087151A" w:rsidRPr="0087151A" w:rsidRDefault="0087151A" w:rsidP="0087151A">
                  <w:pPr>
                    <w:rPr>
                      <w:b/>
                      <w:bCs/>
                      <w:i/>
                      <w:sz w:val="18"/>
                      <w:szCs w:val="20"/>
                    </w:rPr>
                  </w:pPr>
                  <w:r w:rsidRPr="0087151A">
                    <w:rPr>
                      <w:b/>
                      <w:bCs/>
                      <w:i/>
                      <w:sz w:val="18"/>
                      <w:szCs w:val="20"/>
                    </w:rPr>
                    <w:t>System ROE2</w:t>
                  </w:r>
                </w:p>
              </w:tc>
              <w:tc>
                <w:tcPr>
                  <w:tcW w:w="878" w:type="pct"/>
                </w:tcPr>
                <w:p w14:paraId="2F1853CA" w14:textId="77777777" w:rsidR="0087151A" w:rsidRPr="0087151A" w:rsidRDefault="0087151A" w:rsidP="0087151A">
                  <w:pPr>
                    <w:rPr>
                      <w:b/>
                      <w:bCs/>
                      <w:i/>
                      <w:sz w:val="18"/>
                      <w:szCs w:val="20"/>
                    </w:rPr>
                  </w:pPr>
                  <w:r w:rsidRPr="0087151A">
                    <w:rPr>
                      <w:b/>
                      <w:bCs/>
                      <w:i/>
                      <w:sz w:val="18"/>
                      <w:szCs w:val="20"/>
                    </w:rPr>
                    <w:t>07-2019</w:t>
                  </w:r>
                </w:p>
                <w:p w14:paraId="535328C6" w14:textId="77777777" w:rsidR="0087151A" w:rsidRPr="0087151A" w:rsidRDefault="0087151A" w:rsidP="0087151A">
                  <w:pPr>
                    <w:ind w:left="44"/>
                    <w:rPr>
                      <w:b/>
                      <w:bCs/>
                      <w:i/>
                      <w:sz w:val="18"/>
                      <w:szCs w:val="20"/>
                    </w:rPr>
                  </w:pPr>
                </w:p>
                <w:p w14:paraId="38501D34" w14:textId="77777777" w:rsidR="0087151A" w:rsidRPr="0087151A" w:rsidRDefault="0087151A" w:rsidP="0087151A">
                  <w:pPr>
                    <w:rPr>
                      <w:b/>
                      <w:bCs/>
                      <w:i/>
                      <w:sz w:val="18"/>
                      <w:szCs w:val="20"/>
                    </w:rPr>
                  </w:pPr>
                </w:p>
              </w:tc>
              <w:tc>
                <w:tcPr>
                  <w:tcW w:w="990" w:type="pct"/>
                </w:tcPr>
                <w:p w14:paraId="747D3598" w14:textId="77777777" w:rsidR="0087151A" w:rsidRPr="0087151A" w:rsidRDefault="0087151A" w:rsidP="0087151A">
                  <w:pPr>
                    <w:rPr>
                      <w:b/>
                      <w:bCs/>
                      <w:i/>
                      <w:sz w:val="18"/>
                      <w:szCs w:val="20"/>
                    </w:rPr>
                  </w:pPr>
                  <w:r w:rsidRPr="0087151A">
                    <w:rPr>
                      <w:b/>
                      <w:bCs/>
                      <w:i/>
                      <w:sz w:val="18"/>
                      <w:szCs w:val="20"/>
                    </w:rPr>
                    <w:t>07-2019</w:t>
                  </w:r>
                </w:p>
              </w:tc>
              <w:tc>
                <w:tcPr>
                  <w:tcW w:w="1825" w:type="pct"/>
                </w:tcPr>
                <w:p w14:paraId="027E0308" w14:textId="77777777" w:rsidR="0087151A" w:rsidRPr="0087151A" w:rsidRDefault="0087151A" w:rsidP="00E271DD">
                  <w:pPr>
                    <w:pStyle w:val="Inne0"/>
                    <w:shd w:val="clear" w:color="auto" w:fill="auto"/>
                    <w:spacing w:after="120" w:line="240" w:lineRule="auto"/>
                    <w:rPr>
                      <w:rFonts w:asciiTheme="minorHAnsi" w:hAnsiTheme="minorHAnsi" w:cstheme="minorBidi"/>
                      <w:b/>
                      <w:bCs/>
                      <w:i/>
                      <w:sz w:val="18"/>
                      <w:szCs w:val="20"/>
                    </w:rPr>
                  </w:pPr>
                  <w:r w:rsidRPr="0087151A">
                    <w:rPr>
                      <w:rFonts w:asciiTheme="minorHAnsi" w:eastAsiaTheme="minorHAnsi" w:hAnsiTheme="minorHAnsi" w:cstheme="minorBidi"/>
                      <w:b/>
                      <w:bCs/>
                      <w:i/>
                      <w:sz w:val="18"/>
                      <w:szCs w:val="20"/>
                    </w:rPr>
                    <w:t xml:space="preserve">Rozwój potencjału informatycznego Narodowego Instytutu Zdrowia Publicznego </w:t>
                  </w:r>
                  <w:r w:rsidR="00E271DD">
                    <w:rPr>
                      <w:rFonts w:asciiTheme="minorHAnsi" w:eastAsiaTheme="minorHAnsi" w:hAnsiTheme="minorHAnsi" w:cstheme="minorBidi"/>
                      <w:b/>
                      <w:bCs/>
                      <w:i/>
                      <w:sz w:val="18"/>
                      <w:szCs w:val="20"/>
                    </w:rPr>
                    <w:t>–</w:t>
                  </w:r>
                  <w:r w:rsidRPr="0087151A">
                    <w:rPr>
                      <w:rFonts w:asciiTheme="minorHAnsi" w:eastAsiaTheme="minorHAnsi" w:hAnsiTheme="minorHAnsi" w:cstheme="minorBidi"/>
                      <w:b/>
                      <w:bCs/>
                      <w:i/>
                      <w:sz w:val="18"/>
                      <w:szCs w:val="20"/>
                    </w:rPr>
                    <w:t xml:space="preserve"> Państwowego</w:t>
                  </w:r>
                  <w:r w:rsidR="00E271DD">
                    <w:rPr>
                      <w:rFonts w:asciiTheme="minorHAnsi" w:eastAsiaTheme="minorHAnsi" w:hAnsiTheme="minorHAnsi" w:cstheme="minorBidi"/>
                      <w:b/>
                      <w:bCs/>
                      <w:i/>
                      <w:sz w:val="18"/>
                      <w:szCs w:val="20"/>
                    </w:rPr>
                    <w:t xml:space="preserve"> </w:t>
                  </w:r>
                  <w:r w:rsidRPr="0087151A">
                    <w:rPr>
                      <w:rFonts w:asciiTheme="minorHAnsi" w:hAnsiTheme="minorHAnsi" w:cstheme="minorBidi"/>
                      <w:b/>
                      <w:bCs/>
                      <w:i/>
                      <w:sz w:val="18"/>
                      <w:szCs w:val="20"/>
                    </w:rPr>
                    <w:t>Zakładu Higieny</w:t>
                  </w:r>
                </w:p>
                <w:p w14:paraId="3746F24B" w14:textId="77777777" w:rsidR="0087151A" w:rsidRPr="0087151A" w:rsidRDefault="0087151A" w:rsidP="0087151A">
                  <w:pPr>
                    <w:pStyle w:val="Inne0"/>
                    <w:shd w:val="clear" w:color="auto" w:fill="auto"/>
                    <w:spacing w:after="120" w:line="240" w:lineRule="auto"/>
                    <w:rPr>
                      <w:rFonts w:asciiTheme="minorHAnsi" w:eastAsiaTheme="minorHAnsi" w:hAnsiTheme="minorHAnsi" w:cstheme="minorBidi"/>
                      <w:b/>
                      <w:bCs/>
                      <w:i/>
                      <w:sz w:val="18"/>
                      <w:szCs w:val="20"/>
                    </w:rPr>
                  </w:pPr>
                  <w:r w:rsidRPr="0087151A">
                    <w:rPr>
                      <w:rFonts w:asciiTheme="minorHAnsi" w:eastAsiaTheme="minorHAnsi" w:hAnsiTheme="minorHAnsi" w:cstheme="minorBidi"/>
                      <w:b/>
                      <w:bCs/>
                      <w:i/>
                      <w:sz w:val="18"/>
                      <w:szCs w:val="20"/>
                    </w:rPr>
                    <w:t xml:space="preserve">Produkt - Baza danych Zakładu Epidemiologii, Wirusologii oraz Zakładu Centrum </w:t>
                  </w:r>
                  <w:r w:rsidRPr="0087151A">
                    <w:rPr>
                      <w:rFonts w:asciiTheme="minorHAnsi" w:eastAsiaTheme="minorHAnsi" w:hAnsiTheme="minorHAnsi" w:cstheme="minorBidi"/>
                      <w:b/>
                      <w:bCs/>
                      <w:i/>
                      <w:sz w:val="18"/>
                      <w:szCs w:val="20"/>
                    </w:rPr>
                    <w:lastRenderedPageBreak/>
                    <w:t>Monitorowania i Analiz Stanu Zdrowia Ludności.</w:t>
                  </w:r>
                </w:p>
                <w:p w14:paraId="37C9FD6B" w14:textId="77777777" w:rsidR="0087151A" w:rsidRPr="0087151A" w:rsidRDefault="0087151A" w:rsidP="0087151A">
                  <w:pPr>
                    <w:rPr>
                      <w:b/>
                      <w:bCs/>
                      <w:i/>
                      <w:sz w:val="18"/>
                      <w:szCs w:val="20"/>
                    </w:rPr>
                  </w:pPr>
                </w:p>
              </w:tc>
            </w:tr>
            <w:tr w:rsidR="0087151A" w:rsidRPr="0087151A" w14:paraId="66EC154C" w14:textId="77777777" w:rsidTr="0087151A">
              <w:tc>
                <w:tcPr>
                  <w:tcW w:w="1307" w:type="pct"/>
                </w:tcPr>
                <w:p w14:paraId="6B9ED8CD" w14:textId="77777777" w:rsidR="0087151A" w:rsidRPr="0087151A" w:rsidRDefault="0087151A" w:rsidP="0087151A">
                  <w:pPr>
                    <w:rPr>
                      <w:b/>
                      <w:bCs/>
                      <w:i/>
                      <w:sz w:val="18"/>
                      <w:szCs w:val="20"/>
                    </w:rPr>
                  </w:pPr>
                  <w:r w:rsidRPr="0087151A">
                    <w:rPr>
                      <w:b/>
                      <w:bCs/>
                      <w:i/>
                      <w:sz w:val="18"/>
                      <w:szCs w:val="20"/>
                    </w:rPr>
                    <w:lastRenderedPageBreak/>
                    <w:t>System Chorobowości Szpitalnej</w:t>
                  </w:r>
                </w:p>
              </w:tc>
              <w:tc>
                <w:tcPr>
                  <w:tcW w:w="878" w:type="pct"/>
                </w:tcPr>
                <w:p w14:paraId="47F01387" w14:textId="77777777" w:rsidR="0087151A" w:rsidRPr="0087151A" w:rsidRDefault="0087151A" w:rsidP="0087151A">
                  <w:pPr>
                    <w:rPr>
                      <w:b/>
                      <w:bCs/>
                      <w:i/>
                      <w:sz w:val="18"/>
                      <w:szCs w:val="20"/>
                    </w:rPr>
                  </w:pPr>
                  <w:r w:rsidRPr="0087151A">
                    <w:rPr>
                      <w:b/>
                      <w:bCs/>
                      <w:i/>
                      <w:sz w:val="18"/>
                      <w:szCs w:val="20"/>
                    </w:rPr>
                    <w:t>07-2019</w:t>
                  </w:r>
                </w:p>
                <w:p w14:paraId="602A00FA" w14:textId="77777777" w:rsidR="0087151A" w:rsidRPr="0087151A" w:rsidRDefault="0087151A" w:rsidP="0087151A">
                  <w:pPr>
                    <w:rPr>
                      <w:b/>
                      <w:bCs/>
                      <w:i/>
                      <w:sz w:val="18"/>
                      <w:szCs w:val="20"/>
                    </w:rPr>
                  </w:pPr>
                </w:p>
              </w:tc>
              <w:tc>
                <w:tcPr>
                  <w:tcW w:w="990" w:type="pct"/>
                </w:tcPr>
                <w:p w14:paraId="467455FB" w14:textId="77777777" w:rsidR="0087151A" w:rsidRPr="0087151A" w:rsidRDefault="0087151A" w:rsidP="0087151A">
                  <w:pPr>
                    <w:rPr>
                      <w:b/>
                      <w:bCs/>
                      <w:i/>
                      <w:sz w:val="18"/>
                      <w:szCs w:val="20"/>
                    </w:rPr>
                  </w:pPr>
                  <w:r w:rsidRPr="0087151A">
                    <w:rPr>
                      <w:b/>
                      <w:bCs/>
                      <w:i/>
                      <w:sz w:val="18"/>
                      <w:szCs w:val="20"/>
                    </w:rPr>
                    <w:t>07-2019</w:t>
                  </w:r>
                </w:p>
              </w:tc>
              <w:tc>
                <w:tcPr>
                  <w:tcW w:w="1825" w:type="pct"/>
                </w:tcPr>
                <w:p w14:paraId="78134BE2" w14:textId="77777777" w:rsidR="0087151A" w:rsidRPr="0087151A" w:rsidRDefault="0087151A" w:rsidP="0087151A">
                  <w:pPr>
                    <w:pStyle w:val="Inne0"/>
                    <w:spacing w:after="120" w:line="240" w:lineRule="auto"/>
                    <w:rPr>
                      <w:rFonts w:asciiTheme="minorHAnsi" w:eastAsiaTheme="minorHAnsi" w:hAnsiTheme="minorHAnsi" w:cstheme="minorBidi"/>
                      <w:b/>
                      <w:bCs/>
                      <w:i/>
                      <w:sz w:val="18"/>
                      <w:szCs w:val="20"/>
                    </w:rPr>
                  </w:pPr>
                  <w:r w:rsidRPr="0087151A">
                    <w:rPr>
                      <w:rFonts w:asciiTheme="minorHAnsi" w:eastAsiaTheme="minorHAnsi" w:hAnsiTheme="minorHAnsi" w:cstheme="minorBidi"/>
                      <w:b/>
                      <w:bCs/>
                      <w:i/>
                      <w:sz w:val="18"/>
                      <w:szCs w:val="20"/>
                    </w:rPr>
                    <w:t>Projekt predefiniowany: „Ograniczenie społecznych nierówności w zdrowiu Realizowany w ramach programu operacyjnego PL 13”</w:t>
                  </w:r>
                </w:p>
                <w:p w14:paraId="175304CE" w14:textId="77777777" w:rsidR="0087151A" w:rsidRPr="0087151A" w:rsidRDefault="0087151A" w:rsidP="0087151A">
                  <w:pPr>
                    <w:pStyle w:val="Inne0"/>
                    <w:shd w:val="clear" w:color="auto" w:fill="auto"/>
                    <w:spacing w:after="120" w:line="240" w:lineRule="auto"/>
                    <w:rPr>
                      <w:rFonts w:asciiTheme="minorHAnsi" w:eastAsiaTheme="minorHAnsi" w:hAnsiTheme="minorHAnsi" w:cstheme="minorBidi"/>
                      <w:b/>
                      <w:bCs/>
                      <w:i/>
                      <w:sz w:val="18"/>
                      <w:szCs w:val="20"/>
                    </w:rPr>
                  </w:pPr>
                  <w:r w:rsidRPr="0087151A">
                    <w:rPr>
                      <w:rFonts w:asciiTheme="minorHAnsi" w:eastAsiaTheme="minorHAnsi" w:hAnsiTheme="minorHAnsi" w:cstheme="minorBidi"/>
                      <w:b/>
                      <w:bCs/>
                      <w:i/>
                      <w:sz w:val="18"/>
                      <w:szCs w:val="20"/>
                    </w:rPr>
                    <w:t>Produkt - Baza Wiedzy obejmująca zakres zdrowia publicznego i nierówności w zdrowiu.</w:t>
                  </w:r>
                </w:p>
              </w:tc>
            </w:tr>
            <w:tr w:rsidR="0087151A" w:rsidRPr="0087151A" w14:paraId="2DC6C4F3" w14:textId="77777777" w:rsidTr="0087151A">
              <w:tc>
                <w:tcPr>
                  <w:tcW w:w="1307" w:type="pct"/>
                </w:tcPr>
                <w:p w14:paraId="09F9E2DF" w14:textId="77777777" w:rsidR="0087151A" w:rsidRPr="0087151A" w:rsidRDefault="0087151A" w:rsidP="0087151A">
                  <w:pPr>
                    <w:rPr>
                      <w:b/>
                      <w:bCs/>
                      <w:i/>
                      <w:sz w:val="18"/>
                      <w:szCs w:val="20"/>
                    </w:rPr>
                  </w:pPr>
                  <w:r w:rsidRPr="0087151A">
                    <w:rPr>
                      <w:b/>
                      <w:bCs/>
                      <w:i/>
                      <w:sz w:val="18"/>
                      <w:szCs w:val="20"/>
                    </w:rPr>
                    <w:t>System Monitorowania Zagrożeń</w:t>
                  </w:r>
                </w:p>
              </w:tc>
              <w:tc>
                <w:tcPr>
                  <w:tcW w:w="878" w:type="pct"/>
                </w:tcPr>
                <w:p w14:paraId="52814BD1" w14:textId="77777777" w:rsidR="0087151A" w:rsidRPr="0087151A" w:rsidRDefault="0087151A" w:rsidP="0087151A">
                  <w:pPr>
                    <w:rPr>
                      <w:b/>
                      <w:bCs/>
                      <w:i/>
                      <w:sz w:val="18"/>
                      <w:szCs w:val="20"/>
                    </w:rPr>
                  </w:pPr>
                  <w:r w:rsidRPr="0087151A">
                    <w:rPr>
                      <w:b/>
                      <w:bCs/>
                      <w:i/>
                      <w:sz w:val="18"/>
                      <w:szCs w:val="20"/>
                    </w:rPr>
                    <w:t>07-2019</w:t>
                  </w:r>
                </w:p>
                <w:p w14:paraId="454683B7" w14:textId="77777777" w:rsidR="0087151A" w:rsidRPr="0087151A" w:rsidRDefault="0087151A" w:rsidP="0087151A">
                  <w:pPr>
                    <w:rPr>
                      <w:b/>
                      <w:bCs/>
                      <w:i/>
                      <w:sz w:val="18"/>
                      <w:szCs w:val="20"/>
                    </w:rPr>
                  </w:pPr>
                </w:p>
              </w:tc>
              <w:tc>
                <w:tcPr>
                  <w:tcW w:w="990" w:type="pct"/>
                </w:tcPr>
                <w:p w14:paraId="3D37E7CF" w14:textId="77777777" w:rsidR="0087151A" w:rsidRPr="0087151A" w:rsidRDefault="0087151A" w:rsidP="0087151A">
                  <w:pPr>
                    <w:rPr>
                      <w:b/>
                      <w:bCs/>
                      <w:i/>
                      <w:sz w:val="18"/>
                      <w:szCs w:val="20"/>
                    </w:rPr>
                  </w:pPr>
                  <w:r w:rsidRPr="0087151A">
                    <w:rPr>
                      <w:b/>
                      <w:bCs/>
                      <w:i/>
                      <w:sz w:val="18"/>
                      <w:szCs w:val="20"/>
                    </w:rPr>
                    <w:t>07-2019</w:t>
                  </w:r>
                </w:p>
              </w:tc>
              <w:tc>
                <w:tcPr>
                  <w:tcW w:w="1825" w:type="pct"/>
                </w:tcPr>
                <w:p w14:paraId="24C4D25B" w14:textId="77777777" w:rsidR="0087151A" w:rsidRPr="0087151A" w:rsidRDefault="0087151A" w:rsidP="0087151A">
                  <w:pPr>
                    <w:rPr>
                      <w:b/>
                      <w:bCs/>
                      <w:i/>
                      <w:sz w:val="18"/>
                      <w:szCs w:val="20"/>
                    </w:rPr>
                  </w:pPr>
                  <w:r w:rsidRPr="0087151A">
                    <w:rPr>
                      <w:b/>
                      <w:bCs/>
                      <w:i/>
                      <w:sz w:val="18"/>
                      <w:szCs w:val="20"/>
                    </w:rPr>
                    <w:t>(ten system jeszcze nie istnieje, NIZP-PZH nie ma wpływu na datę jego dostarczenia i uruchomienia jednak w zakresie projektu należy przewidzieć powstanie otwartego interfejsu umożliwiającego wymianę danych, docelowo przetwarzanych przez ten system. Zakładamy, że jeśli System Monitorowania Zagrożeń powstanie później, zostanie dostosowany do istniejącego już API</w:t>
                  </w:r>
                </w:p>
              </w:tc>
            </w:tr>
            <w:tr w:rsidR="0087151A" w:rsidRPr="0087151A" w14:paraId="1C07E85A" w14:textId="77777777" w:rsidTr="0087151A">
              <w:tc>
                <w:tcPr>
                  <w:tcW w:w="1307" w:type="pct"/>
                </w:tcPr>
                <w:p w14:paraId="3D7E7A97" w14:textId="77777777" w:rsidR="0087151A" w:rsidRPr="0087151A" w:rsidRDefault="0087151A" w:rsidP="0087151A">
                  <w:pPr>
                    <w:rPr>
                      <w:b/>
                      <w:bCs/>
                      <w:i/>
                      <w:sz w:val="18"/>
                      <w:szCs w:val="20"/>
                    </w:rPr>
                  </w:pPr>
                  <w:r w:rsidRPr="0087151A">
                    <w:rPr>
                      <w:b/>
                      <w:bCs/>
                      <w:i/>
                      <w:sz w:val="18"/>
                      <w:szCs w:val="20"/>
                    </w:rPr>
                    <w:t>Systemy Gabinetowe</w:t>
                  </w:r>
                </w:p>
              </w:tc>
              <w:tc>
                <w:tcPr>
                  <w:tcW w:w="878" w:type="pct"/>
                </w:tcPr>
                <w:p w14:paraId="3831C44E" w14:textId="77777777" w:rsidR="0087151A" w:rsidRPr="0087151A" w:rsidRDefault="0087151A" w:rsidP="0087151A">
                  <w:pPr>
                    <w:rPr>
                      <w:b/>
                      <w:bCs/>
                      <w:i/>
                      <w:sz w:val="18"/>
                      <w:szCs w:val="20"/>
                    </w:rPr>
                  </w:pPr>
                  <w:r w:rsidRPr="0087151A">
                    <w:rPr>
                      <w:b/>
                      <w:bCs/>
                      <w:i/>
                      <w:sz w:val="18"/>
                      <w:szCs w:val="20"/>
                    </w:rPr>
                    <w:t>07-2019</w:t>
                  </w:r>
                </w:p>
                <w:p w14:paraId="6844A8D1" w14:textId="77777777" w:rsidR="0087151A" w:rsidRPr="0087151A" w:rsidRDefault="0087151A" w:rsidP="0087151A">
                  <w:pPr>
                    <w:rPr>
                      <w:b/>
                      <w:bCs/>
                      <w:i/>
                      <w:sz w:val="18"/>
                      <w:szCs w:val="20"/>
                    </w:rPr>
                  </w:pPr>
                </w:p>
              </w:tc>
              <w:tc>
                <w:tcPr>
                  <w:tcW w:w="990" w:type="pct"/>
                </w:tcPr>
                <w:p w14:paraId="2D0D5AE1" w14:textId="77777777" w:rsidR="0087151A" w:rsidRPr="0087151A" w:rsidRDefault="0087151A" w:rsidP="0087151A">
                  <w:pPr>
                    <w:rPr>
                      <w:b/>
                      <w:bCs/>
                      <w:i/>
                      <w:sz w:val="18"/>
                      <w:szCs w:val="20"/>
                    </w:rPr>
                  </w:pPr>
                  <w:r w:rsidRPr="0087151A">
                    <w:rPr>
                      <w:b/>
                      <w:bCs/>
                      <w:i/>
                      <w:sz w:val="18"/>
                      <w:szCs w:val="20"/>
                    </w:rPr>
                    <w:t>07-2019</w:t>
                  </w:r>
                </w:p>
              </w:tc>
              <w:tc>
                <w:tcPr>
                  <w:tcW w:w="1825" w:type="pct"/>
                </w:tcPr>
                <w:p w14:paraId="7464345D" w14:textId="77777777" w:rsidR="0087151A" w:rsidRPr="0087151A" w:rsidRDefault="0087151A" w:rsidP="0087151A">
                  <w:pPr>
                    <w:pStyle w:val="Inne0"/>
                    <w:spacing w:after="120" w:line="240" w:lineRule="auto"/>
                    <w:rPr>
                      <w:rFonts w:asciiTheme="minorHAnsi" w:eastAsiaTheme="minorHAnsi" w:hAnsiTheme="minorHAnsi" w:cstheme="minorBidi"/>
                      <w:b/>
                      <w:bCs/>
                      <w:i/>
                      <w:sz w:val="18"/>
                      <w:szCs w:val="20"/>
                    </w:rPr>
                  </w:pPr>
                  <w:r w:rsidRPr="0087151A">
                    <w:rPr>
                      <w:rFonts w:asciiTheme="minorHAnsi" w:eastAsiaTheme="minorHAnsi" w:hAnsiTheme="minorHAnsi" w:cstheme="minorBidi"/>
                      <w:b/>
                      <w:bCs/>
                      <w:i/>
                      <w:sz w:val="18"/>
                      <w:szCs w:val="20"/>
                    </w:rPr>
                    <w:t>Projekt predefiniowany: „Ograniczenie społecznych nierówności w zdrowiu Realizowany w ramach programu operacyjnego PL 13”</w:t>
                  </w:r>
                </w:p>
                <w:p w14:paraId="4339D0B1" w14:textId="77777777" w:rsidR="0087151A" w:rsidRPr="0087151A" w:rsidRDefault="0087151A" w:rsidP="0087151A">
                  <w:pPr>
                    <w:rPr>
                      <w:b/>
                      <w:bCs/>
                      <w:i/>
                      <w:sz w:val="18"/>
                      <w:szCs w:val="20"/>
                    </w:rPr>
                  </w:pPr>
                  <w:r w:rsidRPr="0087151A">
                    <w:rPr>
                      <w:b/>
                      <w:bCs/>
                      <w:i/>
                      <w:sz w:val="18"/>
                      <w:szCs w:val="20"/>
                    </w:rPr>
                    <w:t>Produkt - Baza Wiedzy obejmująca zakres zdrowia publicznego i nierówności w zdrowiu.</w:t>
                  </w:r>
                </w:p>
              </w:tc>
            </w:tr>
            <w:tr w:rsidR="0087151A" w:rsidRPr="0087151A" w14:paraId="77F77398" w14:textId="77777777" w:rsidTr="0087151A">
              <w:tc>
                <w:tcPr>
                  <w:tcW w:w="1307" w:type="pct"/>
                </w:tcPr>
                <w:p w14:paraId="76697432" w14:textId="77777777" w:rsidR="0087151A" w:rsidRPr="0087151A" w:rsidRDefault="0087151A" w:rsidP="0087151A">
                  <w:pPr>
                    <w:rPr>
                      <w:b/>
                      <w:bCs/>
                      <w:i/>
                      <w:sz w:val="18"/>
                      <w:szCs w:val="20"/>
                    </w:rPr>
                  </w:pPr>
                  <w:proofErr w:type="spellStart"/>
                  <w:r w:rsidRPr="0087151A">
                    <w:rPr>
                      <w:b/>
                      <w:bCs/>
                      <w:i/>
                      <w:sz w:val="18"/>
                      <w:szCs w:val="20"/>
                    </w:rPr>
                    <w:t>APi</w:t>
                  </w:r>
                  <w:proofErr w:type="spellEnd"/>
                  <w:r w:rsidRPr="0087151A">
                    <w:rPr>
                      <w:b/>
                      <w:bCs/>
                      <w:i/>
                      <w:sz w:val="18"/>
                      <w:szCs w:val="20"/>
                    </w:rPr>
                    <w:t xml:space="preserve"> - Zasoby GUS</w:t>
                  </w:r>
                </w:p>
              </w:tc>
              <w:tc>
                <w:tcPr>
                  <w:tcW w:w="878" w:type="pct"/>
                </w:tcPr>
                <w:p w14:paraId="469BA883" w14:textId="77777777" w:rsidR="0087151A" w:rsidRPr="0087151A" w:rsidRDefault="0087151A" w:rsidP="0087151A">
                  <w:pPr>
                    <w:rPr>
                      <w:b/>
                      <w:bCs/>
                      <w:i/>
                      <w:sz w:val="18"/>
                      <w:szCs w:val="20"/>
                    </w:rPr>
                  </w:pPr>
                  <w:r w:rsidRPr="0087151A">
                    <w:rPr>
                      <w:b/>
                      <w:bCs/>
                      <w:i/>
                      <w:sz w:val="18"/>
                      <w:szCs w:val="20"/>
                    </w:rPr>
                    <w:t>07-2019</w:t>
                  </w:r>
                </w:p>
                <w:p w14:paraId="5C9C774A" w14:textId="77777777" w:rsidR="0087151A" w:rsidRPr="0087151A" w:rsidRDefault="0087151A" w:rsidP="0087151A">
                  <w:pPr>
                    <w:rPr>
                      <w:b/>
                      <w:bCs/>
                      <w:i/>
                      <w:sz w:val="18"/>
                      <w:szCs w:val="20"/>
                    </w:rPr>
                  </w:pPr>
                </w:p>
              </w:tc>
              <w:tc>
                <w:tcPr>
                  <w:tcW w:w="990" w:type="pct"/>
                </w:tcPr>
                <w:p w14:paraId="79993995" w14:textId="77777777" w:rsidR="0087151A" w:rsidRPr="0087151A" w:rsidRDefault="0087151A" w:rsidP="0087151A">
                  <w:pPr>
                    <w:rPr>
                      <w:b/>
                      <w:bCs/>
                      <w:i/>
                      <w:sz w:val="18"/>
                      <w:szCs w:val="20"/>
                    </w:rPr>
                  </w:pPr>
                  <w:r w:rsidRPr="0087151A">
                    <w:rPr>
                      <w:b/>
                      <w:bCs/>
                      <w:i/>
                      <w:sz w:val="18"/>
                      <w:szCs w:val="20"/>
                    </w:rPr>
                    <w:t>07-2019</w:t>
                  </w:r>
                </w:p>
              </w:tc>
              <w:tc>
                <w:tcPr>
                  <w:tcW w:w="1825" w:type="pct"/>
                </w:tcPr>
                <w:p w14:paraId="0642F1F5" w14:textId="77777777" w:rsidR="0087151A" w:rsidRPr="0087151A" w:rsidRDefault="0087151A" w:rsidP="0087151A">
                  <w:pPr>
                    <w:pStyle w:val="Inne0"/>
                    <w:spacing w:after="120" w:line="240" w:lineRule="auto"/>
                    <w:rPr>
                      <w:rFonts w:asciiTheme="minorHAnsi" w:eastAsiaTheme="minorHAnsi" w:hAnsiTheme="minorHAnsi" w:cstheme="minorBidi"/>
                      <w:b/>
                      <w:bCs/>
                      <w:i/>
                      <w:sz w:val="18"/>
                      <w:szCs w:val="20"/>
                    </w:rPr>
                  </w:pPr>
                  <w:r w:rsidRPr="0087151A">
                    <w:rPr>
                      <w:rFonts w:asciiTheme="minorHAnsi" w:eastAsiaTheme="minorHAnsi" w:hAnsiTheme="minorHAnsi" w:cstheme="minorBidi"/>
                      <w:b/>
                      <w:bCs/>
                      <w:i/>
                      <w:sz w:val="18"/>
                      <w:szCs w:val="20"/>
                    </w:rPr>
                    <w:t>Projekt predefiniowany: „Ograniczenie społecznych nierówności w zdrowiu Realizowany w ramach programu operacyjnego PL 13”</w:t>
                  </w:r>
                </w:p>
                <w:p w14:paraId="5148FBFA" w14:textId="77777777" w:rsidR="0087151A" w:rsidRPr="0087151A" w:rsidRDefault="0087151A" w:rsidP="0087151A">
                  <w:pPr>
                    <w:pStyle w:val="Inne0"/>
                    <w:spacing w:after="120" w:line="240" w:lineRule="auto"/>
                    <w:rPr>
                      <w:rFonts w:asciiTheme="minorHAnsi" w:eastAsiaTheme="minorHAnsi" w:hAnsiTheme="minorHAnsi" w:cstheme="minorBidi"/>
                      <w:b/>
                      <w:bCs/>
                      <w:i/>
                      <w:sz w:val="18"/>
                      <w:szCs w:val="20"/>
                    </w:rPr>
                  </w:pPr>
                  <w:r w:rsidRPr="0087151A">
                    <w:rPr>
                      <w:rFonts w:asciiTheme="minorHAnsi" w:eastAsiaTheme="minorHAnsi" w:hAnsiTheme="minorHAnsi" w:cstheme="minorBidi"/>
                      <w:b/>
                      <w:bCs/>
                      <w:i/>
                      <w:sz w:val="18"/>
                      <w:szCs w:val="20"/>
                    </w:rPr>
                    <w:t>Produkt - Baza Wiedzy obejmująca zakres zdrowia publicznego i nierówności w zdrowiu.</w:t>
                  </w:r>
                </w:p>
              </w:tc>
            </w:tr>
            <w:tr w:rsidR="0087151A" w:rsidRPr="0087151A" w14:paraId="149A7721" w14:textId="77777777" w:rsidTr="0087151A">
              <w:tc>
                <w:tcPr>
                  <w:tcW w:w="1307" w:type="pct"/>
                </w:tcPr>
                <w:p w14:paraId="6B1A7CE3" w14:textId="77777777" w:rsidR="0087151A" w:rsidRPr="0087151A" w:rsidRDefault="0087151A" w:rsidP="0087151A">
                  <w:pPr>
                    <w:rPr>
                      <w:b/>
                      <w:bCs/>
                      <w:i/>
                      <w:sz w:val="18"/>
                      <w:szCs w:val="20"/>
                    </w:rPr>
                  </w:pPr>
                  <w:r w:rsidRPr="0087151A">
                    <w:rPr>
                      <w:b/>
                      <w:bCs/>
                      <w:i/>
                      <w:sz w:val="18"/>
                      <w:szCs w:val="20"/>
                    </w:rPr>
                    <w:t>API do automatycznego udostępniania ISP z Systemu do systemów zewnętrznych używanych przez użytkowników zewnętrznych</w:t>
                  </w:r>
                </w:p>
              </w:tc>
              <w:tc>
                <w:tcPr>
                  <w:tcW w:w="878" w:type="pct"/>
                </w:tcPr>
                <w:p w14:paraId="7235F53E" w14:textId="77777777" w:rsidR="0087151A" w:rsidRPr="0087151A" w:rsidRDefault="0087151A" w:rsidP="0087151A">
                  <w:pPr>
                    <w:rPr>
                      <w:b/>
                      <w:bCs/>
                      <w:i/>
                      <w:sz w:val="18"/>
                      <w:szCs w:val="20"/>
                    </w:rPr>
                  </w:pPr>
                  <w:r w:rsidRPr="0087151A">
                    <w:rPr>
                      <w:b/>
                      <w:bCs/>
                      <w:i/>
                      <w:sz w:val="18"/>
                      <w:szCs w:val="20"/>
                    </w:rPr>
                    <w:t>07-2019</w:t>
                  </w:r>
                </w:p>
                <w:p w14:paraId="1B0E3134" w14:textId="77777777" w:rsidR="0087151A" w:rsidRPr="0087151A" w:rsidRDefault="0087151A" w:rsidP="0087151A">
                  <w:pPr>
                    <w:rPr>
                      <w:b/>
                      <w:bCs/>
                      <w:i/>
                      <w:sz w:val="18"/>
                      <w:szCs w:val="20"/>
                    </w:rPr>
                  </w:pPr>
                </w:p>
              </w:tc>
              <w:tc>
                <w:tcPr>
                  <w:tcW w:w="990" w:type="pct"/>
                </w:tcPr>
                <w:p w14:paraId="0A825E1A" w14:textId="77777777" w:rsidR="0087151A" w:rsidRPr="0087151A" w:rsidRDefault="0087151A" w:rsidP="0087151A">
                  <w:pPr>
                    <w:rPr>
                      <w:b/>
                      <w:bCs/>
                      <w:i/>
                      <w:sz w:val="18"/>
                      <w:szCs w:val="20"/>
                    </w:rPr>
                  </w:pPr>
                  <w:r w:rsidRPr="0087151A">
                    <w:rPr>
                      <w:b/>
                      <w:bCs/>
                      <w:i/>
                      <w:sz w:val="18"/>
                      <w:szCs w:val="20"/>
                    </w:rPr>
                    <w:t>07-2019</w:t>
                  </w:r>
                </w:p>
              </w:tc>
              <w:tc>
                <w:tcPr>
                  <w:tcW w:w="1825" w:type="pct"/>
                </w:tcPr>
                <w:p w14:paraId="4660C67D" w14:textId="77777777" w:rsidR="0087151A" w:rsidRPr="0087151A" w:rsidRDefault="0087151A" w:rsidP="0087151A">
                  <w:pPr>
                    <w:pStyle w:val="Inne0"/>
                    <w:spacing w:after="120" w:line="240" w:lineRule="auto"/>
                    <w:rPr>
                      <w:rFonts w:asciiTheme="minorHAnsi" w:eastAsiaTheme="minorHAnsi" w:hAnsiTheme="minorHAnsi" w:cstheme="minorBidi"/>
                      <w:b/>
                      <w:bCs/>
                      <w:i/>
                      <w:sz w:val="18"/>
                      <w:szCs w:val="20"/>
                    </w:rPr>
                  </w:pPr>
                  <w:r w:rsidRPr="0087151A">
                    <w:rPr>
                      <w:rFonts w:asciiTheme="minorHAnsi" w:eastAsiaTheme="minorHAnsi" w:hAnsiTheme="minorHAnsi" w:cstheme="minorBidi"/>
                      <w:b/>
                      <w:bCs/>
                      <w:i/>
                      <w:sz w:val="18"/>
                      <w:szCs w:val="20"/>
                    </w:rPr>
                    <w:t xml:space="preserve">Projekt: Dziedzinowe systemy teleinformatyczne systemu informacji </w:t>
                  </w:r>
                  <w:r w:rsidRPr="0087151A">
                    <w:rPr>
                      <w:rFonts w:asciiTheme="minorHAnsi" w:eastAsiaTheme="minorHAnsi" w:hAnsiTheme="minorHAnsi" w:cstheme="minorBidi"/>
                      <w:b/>
                      <w:bCs/>
                      <w:i/>
                      <w:sz w:val="18"/>
                      <w:szCs w:val="20"/>
                    </w:rPr>
                    <w:br/>
                    <w:t xml:space="preserve">w ochronie zdrowia.- </w:t>
                  </w:r>
                  <w:proofErr w:type="spellStart"/>
                  <w:r w:rsidRPr="0087151A">
                    <w:rPr>
                      <w:rFonts w:asciiTheme="minorHAnsi" w:eastAsiaTheme="minorHAnsi" w:hAnsiTheme="minorHAnsi" w:cstheme="minorBidi"/>
                      <w:b/>
                      <w:bCs/>
                      <w:i/>
                      <w:sz w:val="18"/>
                      <w:szCs w:val="20"/>
                    </w:rPr>
                    <w:t>CSiOZ</w:t>
                  </w:r>
                  <w:proofErr w:type="spellEnd"/>
                </w:p>
                <w:p w14:paraId="09AB8859" w14:textId="77777777" w:rsidR="0087151A" w:rsidRPr="0087151A" w:rsidRDefault="0087151A" w:rsidP="0087151A">
                  <w:pPr>
                    <w:pStyle w:val="Inne0"/>
                    <w:spacing w:after="120" w:line="240" w:lineRule="auto"/>
                    <w:rPr>
                      <w:rFonts w:asciiTheme="minorHAnsi" w:eastAsiaTheme="minorHAnsi" w:hAnsiTheme="minorHAnsi" w:cstheme="minorBidi"/>
                      <w:b/>
                      <w:bCs/>
                      <w:i/>
                      <w:sz w:val="18"/>
                      <w:szCs w:val="20"/>
                    </w:rPr>
                  </w:pPr>
                  <w:r w:rsidRPr="0087151A">
                    <w:rPr>
                      <w:rFonts w:asciiTheme="minorHAnsi" w:eastAsiaTheme="minorHAnsi" w:hAnsiTheme="minorHAnsi" w:cstheme="minorBidi"/>
                      <w:b/>
                      <w:bCs/>
                      <w:i/>
                      <w:sz w:val="18"/>
                      <w:szCs w:val="20"/>
                    </w:rPr>
                    <w:t xml:space="preserve">Dane gromadzone w systemie </w:t>
                  </w:r>
                  <w:proofErr w:type="spellStart"/>
                  <w:r w:rsidRPr="0087151A">
                    <w:rPr>
                      <w:rFonts w:asciiTheme="minorHAnsi" w:eastAsiaTheme="minorHAnsi" w:hAnsiTheme="minorHAnsi" w:cstheme="minorBidi"/>
                      <w:b/>
                      <w:bCs/>
                      <w:i/>
                      <w:sz w:val="18"/>
                      <w:szCs w:val="20"/>
                    </w:rPr>
                    <w:t>ProfiBaza</w:t>
                  </w:r>
                  <w:proofErr w:type="spellEnd"/>
                  <w:r w:rsidRPr="0087151A">
                    <w:rPr>
                      <w:rFonts w:asciiTheme="minorHAnsi" w:eastAsiaTheme="minorHAnsi" w:hAnsiTheme="minorHAnsi" w:cstheme="minorBidi"/>
                      <w:b/>
                      <w:bCs/>
                      <w:i/>
                      <w:sz w:val="18"/>
                      <w:szCs w:val="20"/>
                    </w:rPr>
                    <w:t xml:space="preserve"> będą również udostępniane celem ich wykorzystania </w:t>
                  </w:r>
                  <w:r w:rsidRPr="0087151A">
                    <w:rPr>
                      <w:rFonts w:asciiTheme="minorHAnsi" w:eastAsiaTheme="minorHAnsi" w:hAnsiTheme="minorHAnsi" w:cstheme="minorBidi"/>
                      <w:b/>
                      <w:bCs/>
                      <w:i/>
                      <w:sz w:val="18"/>
                      <w:szCs w:val="20"/>
                    </w:rPr>
                    <w:br/>
                    <w:t>w Systemie Statystyki w Ochronie Zdrowia.</w:t>
                  </w:r>
                </w:p>
              </w:tc>
            </w:tr>
          </w:tbl>
          <w:p w14:paraId="04D8FAB1" w14:textId="77777777" w:rsidR="0087151A" w:rsidRPr="002F0966" w:rsidRDefault="0087151A" w:rsidP="002F0966">
            <w:pPr>
              <w:jc w:val="both"/>
              <w:rPr>
                <w:b/>
                <w:bCs/>
                <w:i/>
                <w:sz w:val="18"/>
                <w:szCs w:val="20"/>
              </w:rPr>
            </w:pPr>
          </w:p>
        </w:tc>
      </w:tr>
      <w:tr w:rsidR="00525DCF" w:rsidRPr="002450C4" w14:paraId="62ACA080" w14:textId="77777777" w:rsidTr="00D70D9B">
        <w:tc>
          <w:tcPr>
            <w:tcW w:w="568" w:type="dxa"/>
          </w:tcPr>
          <w:p w14:paraId="51E26B0A" w14:textId="77777777" w:rsidR="00525DCF" w:rsidRPr="002450C4" w:rsidRDefault="00525DCF" w:rsidP="00EB22EF">
            <w:pPr>
              <w:pStyle w:val="Akapitzlist"/>
              <w:numPr>
                <w:ilvl w:val="0"/>
                <w:numId w:val="1"/>
              </w:numPr>
              <w:rPr>
                <w:sz w:val="18"/>
                <w:szCs w:val="20"/>
              </w:rPr>
            </w:pPr>
          </w:p>
        </w:tc>
        <w:tc>
          <w:tcPr>
            <w:tcW w:w="1525" w:type="dxa"/>
          </w:tcPr>
          <w:p w14:paraId="76313CE4" w14:textId="77777777" w:rsidR="00525DCF" w:rsidRDefault="00525DCF" w:rsidP="00EB22EF">
            <w:pPr>
              <w:rPr>
                <w:sz w:val="18"/>
                <w:szCs w:val="20"/>
              </w:rPr>
            </w:pPr>
            <w:r>
              <w:rPr>
                <w:sz w:val="18"/>
                <w:szCs w:val="20"/>
              </w:rPr>
              <w:t>Zapewnienie utrzymania projektu (w okresie trwałości)</w:t>
            </w:r>
          </w:p>
        </w:tc>
        <w:tc>
          <w:tcPr>
            <w:tcW w:w="7390" w:type="dxa"/>
          </w:tcPr>
          <w:p w14:paraId="59F9E3FF" w14:textId="77777777" w:rsidR="00525DCF" w:rsidRPr="00E45F39" w:rsidRDefault="00525DCF" w:rsidP="00EB22EF">
            <w:pPr>
              <w:jc w:val="both"/>
              <w:rPr>
                <w:b/>
                <w:bCs/>
                <w:i/>
                <w:sz w:val="18"/>
                <w:szCs w:val="20"/>
              </w:rPr>
            </w:pPr>
            <w:r w:rsidRPr="00E45F39">
              <w:rPr>
                <w:b/>
                <w:bCs/>
                <w:i/>
                <w:sz w:val="18"/>
                <w:szCs w:val="20"/>
              </w:rPr>
              <w:t xml:space="preserve">NIZP-PZH, po dacie zakończenia projektu zatrudnił kluczowych programistów </w:t>
            </w:r>
            <w:proofErr w:type="spellStart"/>
            <w:r w:rsidRPr="00E45F39">
              <w:rPr>
                <w:b/>
                <w:bCs/>
                <w:i/>
                <w:sz w:val="18"/>
                <w:szCs w:val="20"/>
              </w:rPr>
              <w:t>biorącyc</w:t>
            </w:r>
            <w:proofErr w:type="spellEnd"/>
            <w:r w:rsidRPr="00E45F39">
              <w:rPr>
                <w:b/>
                <w:bCs/>
                <w:i/>
                <w:sz w:val="18"/>
                <w:szCs w:val="20"/>
              </w:rPr>
              <w:t xml:space="preserve"> udział w projekcie do dalszych prac związanych ze wsparcie użytkowania systemu oraz jego doskonaleniem i dalszą rozbudową. Wszystkie koszty związane z obsługą systemu NIZP-PZH ponosi ze środków własnych. System poprzez integrację danych z istniejących w NIZP-PZH systemów informatycznych </w:t>
            </w:r>
            <w:r w:rsidRPr="00E45F39">
              <w:rPr>
                <w:b/>
                <w:bCs/>
                <w:i/>
                <w:sz w:val="18"/>
                <w:szCs w:val="20"/>
              </w:rPr>
              <w:lastRenderedPageBreak/>
              <w:t xml:space="preserve">oraz umożliwienie wprowadzania danych do Systemu bezpośrednio przez uczestników procesu gromadzenia informacji (pracownicy: Powiatowych Stacji Sanitarno-Epidemiologicznych, Granicznych Stacji </w:t>
            </w:r>
            <w:proofErr w:type="spellStart"/>
            <w:r w:rsidRPr="00E45F39">
              <w:rPr>
                <w:b/>
                <w:bCs/>
                <w:i/>
                <w:sz w:val="18"/>
                <w:szCs w:val="20"/>
              </w:rPr>
              <w:t>Sanistarno</w:t>
            </w:r>
            <w:proofErr w:type="spellEnd"/>
            <w:r w:rsidRPr="00E45F39">
              <w:rPr>
                <w:b/>
                <w:bCs/>
                <w:i/>
                <w:sz w:val="18"/>
                <w:szCs w:val="20"/>
              </w:rPr>
              <w:t xml:space="preserve">-Epidemiologicznych, Wojewódzkich </w:t>
            </w:r>
            <w:proofErr w:type="spellStart"/>
            <w:r w:rsidRPr="00E45F39">
              <w:rPr>
                <w:b/>
                <w:bCs/>
                <w:i/>
                <w:sz w:val="18"/>
                <w:szCs w:val="20"/>
              </w:rPr>
              <w:t>Sstacji</w:t>
            </w:r>
            <w:proofErr w:type="spellEnd"/>
            <w:r w:rsidRPr="00E45F39">
              <w:rPr>
                <w:b/>
                <w:bCs/>
                <w:i/>
                <w:sz w:val="18"/>
                <w:szCs w:val="20"/>
              </w:rPr>
              <w:t xml:space="preserve"> </w:t>
            </w:r>
            <w:proofErr w:type="spellStart"/>
            <w:r w:rsidRPr="00E45F39">
              <w:rPr>
                <w:b/>
                <w:bCs/>
                <w:i/>
                <w:sz w:val="18"/>
                <w:szCs w:val="20"/>
              </w:rPr>
              <w:t>Saniatarno</w:t>
            </w:r>
            <w:proofErr w:type="spellEnd"/>
            <w:r w:rsidRPr="00E45F39">
              <w:rPr>
                <w:b/>
                <w:bCs/>
                <w:i/>
                <w:sz w:val="18"/>
                <w:szCs w:val="20"/>
              </w:rPr>
              <w:t>-Epidemiologicznych, laboratoriów, NIZP-PZH) zapewnia trwałość projektu pod względem utrzymania aktualnej, systematycznie uzupełnianej bazy danych.</w:t>
            </w:r>
          </w:p>
        </w:tc>
      </w:tr>
      <w:tr w:rsidR="00525DCF" w:rsidRPr="002450C4" w14:paraId="1B961BED" w14:textId="77777777" w:rsidTr="00D70D9B">
        <w:tc>
          <w:tcPr>
            <w:tcW w:w="568" w:type="dxa"/>
          </w:tcPr>
          <w:p w14:paraId="139639CD" w14:textId="77777777" w:rsidR="00525DCF" w:rsidRPr="002450C4" w:rsidRDefault="00525DCF" w:rsidP="00EB22EF">
            <w:pPr>
              <w:pStyle w:val="Akapitzlist"/>
              <w:numPr>
                <w:ilvl w:val="0"/>
                <w:numId w:val="1"/>
              </w:numPr>
              <w:rPr>
                <w:sz w:val="18"/>
                <w:szCs w:val="20"/>
              </w:rPr>
            </w:pPr>
          </w:p>
        </w:tc>
        <w:tc>
          <w:tcPr>
            <w:tcW w:w="1525" w:type="dxa"/>
          </w:tcPr>
          <w:p w14:paraId="05342526" w14:textId="77777777" w:rsidR="00525DCF" w:rsidRDefault="00525DCF" w:rsidP="00EB22EF">
            <w:pPr>
              <w:rPr>
                <w:sz w:val="18"/>
                <w:szCs w:val="20"/>
              </w:rPr>
            </w:pPr>
            <w:r>
              <w:rPr>
                <w:sz w:val="18"/>
                <w:szCs w:val="20"/>
              </w:rPr>
              <w:t>Doświadczenia związane z realizacją projektu</w:t>
            </w:r>
          </w:p>
        </w:tc>
        <w:tc>
          <w:tcPr>
            <w:tcW w:w="7390" w:type="dxa"/>
          </w:tcPr>
          <w:p w14:paraId="3C81D4B5" w14:textId="77777777" w:rsidR="00525DCF" w:rsidRPr="008A581F" w:rsidRDefault="00525DCF" w:rsidP="00EB22EF">
            <w:pPr>
              <w:jc w:val="both"/>
              <w:rPr>
                <w:b/>
                <w:bCs/>
                <w:i/>
                <w:sz w:val="18"/>
                <w:szCs w:val="20"/>
              </w:rPr>
            </w:pPr>
            <w:r w:rsidRPr="008A581F">
              <w:rPr>
                <w:b/>
                <w:bCs/>
                <w:i/>
                <w:sz w:val="18"/>
                <w:szCs w:val="20"/>
              </w:rPr>
              <w:t>Do najważniejszych doświadczeń i wniosków związanych z realizacją i zarządzaniem</w:t>
            </w:r>
          </w:p>
          <w:p w14:paraId="5BC9FC8B" w14:textId="77777777" w:rsidR="00525DCF" w:rsidRPr="008A581F" w:rsidRDefault="00525DCF" w:rsidP="00EB22EF">
            <w:pPr>
              <w:jc w:val="both"/>
              <w:rPr>
                <w:b/>
                <w:bCs/>
                <w:i/>
                <w:sz w:val="18"/>
                <w:szCs w:val="20"/>
              </w:rPr>
            </w:pPr>
            <w:r w:rsidRPr="008A581F">
              <w:rPr>
                <w:b/>
                <w:bCs/>
                <w:i/>
                <w:sz w:val="18"/>
                <w:szCs w:val="20"/>
              </w:rPr>
              <w:t>projektem, należy zaliczyć:</w:t>
            </w:r>
          </w:p>
          <w:p w14:paraId="6EEA43B3" w14:textId="77777777" w:rsidR="00525DCF" w:rsidRPr="008A581F" w:rsidRDefault="00525DCF" w:rsidP="00EB22EF">
            <w:pPr>
              <w:jc w:val="both"/>
              <w:rPr>
                <w:b/>
                <w:bCs/>
                <w:i/>
                <w:sz w:val="18"/>
                <w:szCs w:val="20"/>
              </w:rPr>
            </w:pPr>
            <w:r w:rsidRPr="008A581F">
              <w:rPr>
                <w:b/>
                <w:bCs/>
                <w:i/>
                <w:sz w:val="18"/>
                <w:szCs w:val="20"/>
              </w:rPr>
              <w:t xml:space="preserve">1. Czynnikiem ograniczającym proces realizacji projektu było efektywne przeprowadzenie zamówień publicznych. Prowadzone szacowania wartości zamówienia, poprzedzające wszczęcie procedury udzielenia zamówienia angażowały więcej środków finansowych projektu, co uniemożliwiało ustalenie ostatecznej liczby obiektów, które będą podlegały digitalizacji. Uzyskane ceny z rynku w trakcie prowadzonych postępowań wygenerowały znaczne oszczędności i były zdecydowanie niższe od kwot uzyskanych w tracie szacowania wartości zamówienia, z których tylko część można było zagospodarować na udzielenie dodatkowych zamówień publicznych, podnosząc tym samym wskaźnik związany z liczbą </w:t>
            </w:r>
            <w:proofErr w:type="spellStart"/>
            <w:r w:rsidRPr="008A581F">
              <w:rPr>
                <w:b/>
                <w:bCs/>
                <w:i/>
                <w:sz w:val="18"/>
                <w:szCs w:val="20"/>
              </w:rPr>
              <w:t>zdigitalizowanych</w:t>
            </w:r>
            <w:proofErr w:type="spellEnd"/>
            <w:r w:rsidRPr="008A581F">
              <w:rPr>
                <w:b/>
                <w:bCs/>
                <w:i/>
                <w:sz w:val="18"/>
                <w:szCs w:val="20"/>
              </w:rPr>
              <w:t xml:space="preserve"> obiektów. </w:t>
            </w:r>
          </w:p>
          <w:p w14:paraId="2C3416C0" w14:textId="77777777" w:rsidR="00525DCF" w:rsidRPr="008A581F" w:rsidRDefault="00525DCF" w:rsidP="00187A71">
            <w:pPr>
              <w:tabs>
                <w:tab w:val="left" w:pos="6180"/>
              </w:tabs>
              <w:jc w:val="both"/>
              <w:rPr>
                <w:b/>
                <w:bCs/>
                <w:i/>
                <w:sz w:val="18"/>
                <w:szCs w:val="20"/>
              </w:rPr>
            </w:pPr>
            <w:r w:rsidRPr="008A581F">
              <w:rPr>
                <w:b/>
                <w:bCs/>
                <w:i/>
                <w:sz w:val="18"/>
                <w:szCs w:val="20"/>
              </w:rPr>
              <w:t>2. Realizację Projektu  znacznie ułatwiło zaangażowanie kierownictwa, duża</w:t>
            </w:r>
            <w:r w:rsidR="00187A71">
              <w:rPr>
                <w:b/>
                <w:bCs/>
                <w:i/>
                <w:sz w:val="18"/>
                <w:szCs w:val="20"/>
              </w:rPr>
              <w:t xml:space="preserve"> </w:t>
            </w:r>
            <w:r w:rsidRPr="008A581F">
              <w:rPr>
                <w:b/>
                <w:bCs/>
                <w:i/>
                <w:sz w:val="18"/>
                <w:szCs w:val="20"/>
              </w:rPr>
              <w:t>świadomość istotności i celu projektu wśród wszystkich pracowników i okazywane</w:t>
            </w:r>
            <w:r w:rsidR="008A581F">
              <w:rPr>
                <w:b/>
                <w:bCs/>
                <w:i/>
                <w:sz w:val="18"/>
                <w:szCs w:val="20"/>
              </w:rPr>
              <w:t xml:space="preserve"> </w:t>
            </w:r>
            <w:r w:rsidRPr="008A581F">
              <w:rPr>
                <w:b/>
                <w:bCs/>
                <w:i/>
                <w:sz w:val="18"/>
                <w:szCs w:val="20"/>
              </w:rPr>
              <w:t>wsparcie w toku realizacji projektu.</w:t>
            </w:r>
          </w:p>
          <w:p w14:paraId="65598CCE" w14:textId="77777777" w:rsidR="00525DCF" w:rsidRPr="008A581F" w:rsidRDefault="00525DCF" w:rsidP="00EB22EF">
            <w:pPr>
              <w:jc w:val="both"/>
              <w:rPr>
                <w:b/>
                <w:bCs/>
                <w:i/>
                <w:sz w:val="18"/>
                <w:szCs w:val="20"/>
              </w:rPr>
            </w:pPr>
            <w:r w:rsidRPr="008A581F">
              <w:rPr>
                <w:b/>
                <w:bCs/>
                <w:i/>
                <w:sz w:val="18"/>
                <w:szCs w:val="20"/>
              </w:rPr>
              <w:t>3. Niewątpliwie bardzo pozytywnym rezultatem realizacji projektu jest pozyskanie</w:t>
            </w:r>
            <w:r w:rsidR="008A581F">
              <w:rPr>
                <w:b/>
                <w:bCs/>
                <w:i/>
                <w:sz w:val="18"/>
                <w:szCs w:val="20"/>
              </w:rPr>
              <w:t xml:space="preserve"> </w:t>
            </w:r>
            <w:r w:rsidRPr="008A581F">
              <w:rPr>
                <w:b/>
                <w:bCs/>
                <w:i/>
                <w:sz w:val="18"/>
                <w:szCs w:val="20"/>
              </w:rPr>
              <w:t>nowych i cennych kompetencji przez pracowników Instytutu, zwłaszcza w obszarze</w:t>
            </w:r>
            <w:r w:rsidR="008A581F">
              <w:rPr>
                <w:b/>
                <w:bCs/>
                <w:i/>
                <w:sz w:val="18"/>
                <w:szCs w:val="20"/>
              </w:rPr>
              <w:t xml:space="preserve"> </w:t>
            </w:r>
            <w:r w:rsidRPr="008A581F">
              <w:rPr>
                <w:b/>
                <w:bCs/>
                <w:i/>
                <w:sz w:val="18"/>
                <w:szCs w:val="20"/>
              </w:rPr>
              <w:t xml:space="preserve">realizacji projektów metodą PRINCE2. Niemniej jednak każdorazowo stosowanie metody wymaga dostosowanie jej do organizacji – nie odwrotnie. </w:t>
            </w:r>
          </w:p>
          <w:p w14:paraId="377B987F" w14:textId="77777777" w:rsidR="00525DCF" w:rsidRDefault="00525DCF" w:rsidP="00EB22EF">
            <w:pPr>
              <w:jc w:val="both"/>
              <w:rPr>
                <w:bCs/>
                <w:i/>
                <w:sz w:val="18"/>
                <w:szCs w:val="20"/>
              </w:rPr>
            </w:pPr>
            <w:r w:rsidRPr="008A581F">
              <w:rPr>
                <w:b/>
                <w:bCs/>
                <w:i/>
                <w:sz w:val="18"/>
                <w:szCs w:val="20"/>
              </w:rPr>
              <w:t xml:space="preserve">4. Na podkreślenie zasługuje fakt, że zrealizowanie projektu </w:t>
            </w:r>
            <w:proofErr w:type="spellStart"/>
            <w:r w:rsidRPr="008A581F">
              <w:rPr>
                <w:b/>
                <w:bCs/>
                <w:i/>
                <w:sz w:val="18"/>
                <w:szCs w:val="20"/>
              </w:rPr>
              <w:t>pozowliło</w:t>
            </w:r>
            <w:proofErr w:type="spellEnd"/>
            <w:r w:rsidRPr="008A581F">
              <w:rPr>
                <w:b/>
                <w:bCs/>
                <w:i/>
                <w:sz w:val="18"/>
                <w:szCs w:val="20"/>
              </w:rPr>
              <w:t xml:space="preserve"> wszystkim zainteresowanym i uprawnionym stronom Projektu na dostęp do informacji posiadanych przez NIZP-PZH będących ISP w celu ponownego wykorzystania informacji. Przed realizacją projektu nie było to możliwe z uwagi na gromadzenie danych głównie w wersji papierowej, oraz rozproszone systemy/arkusze, gromadzące częściowo dane w formie elektronicznej.</w:t>
            </w:r>
          </w:p>
        </w:tc>
      </w:tr>
    </w:tbl>
    <w:p w14:paraId="68BA1A21" w14:textId="77777777" w:rsidR="00525DCF" w:rsidRDefault="00525DCF" w:rsidP="00525DCF"/>
    <w:p w14:paraId="46894552" w14:textId="77777777" w:rsidR="003A7066" w:rsidRPr="00CC074B" w:rsidRDefault="003A7066" w:rsidP="003A7066">
      <w:pPr>
        <w:pStyle w:val="Tekstpodstawowy"/>
        <w:spacing w:after="0" w:line="360" w:lineRule="auto"/>
        <w:ind w:left="6372"/>
        <w:rPr>
          <w:rFonts w:ascii="Arial" w:hAnsi="Arial" w:cs="Arial"/>
          <w:color w:val="000000"/>
        </w:rPr>
      </w:pPr>
      <w:r>
        <w:rPr>
          <w:rFonts w:ascii="Arial" w:hAnsi="Arial" w:cs="Arial"/>
          <w:bCs/>
          <w:iCs/>
          <w:color w:val="000000"/>
          <w:lang w:val="pl-PL"/>
        </w:rPr>
        <w:t xml:space="preserve">    </w:t>
      </w:r>
      <w:r w:rsidRPr="00F50F43">
        <w:rPr>
          <w:rFonts w:ascii="Arial" w:hAnsi="Arial" w:cs="Arial"/>
          <w:bCs/>
          <w:iCs/>
          <w:color w:val="000000"/>
        </w:rPr>
        <w:t xml:space="preserve"> </w:t>
      </w:r>
      <w:bookmarkStart w:id="1" w:name="bookmark7"/>
      <w:r w:rsidRPr="00CC074B">
        <w:rPr>
          <w:rFonts w:ascii="Arial" w:hAnsi="Arial" w:cs="Arial"/>
          <w:color w:val="000000"/>
        </w:rPr>
        <w:t>Z poważaniem</w:t>
      </w:r>
    </w:p>
    <w:p w14:paraId="1B3532C2" w14:textId="77777777" w:rsidR="003A7066" w:rsidRPr="00CC074B" w:rsidRDefault="003A7066" w:rsidP="003A7066">
      <w:pPr>
        <w:pStyle w:val="Tekstpodstawowy"/>
        <w:spacing w:line="360" w:lineRule="auto"/>
        <w:ind w:left="5664"/>
        <w:jc w:val="center"/>
        <w:rPr>
          <w:rFonts w:ascii="Arial" w:hAnsi="Arial" w:cs="Arial"/>
          <w:color w:val="000000"/>
        </w:rPr>
      </w:pPr>
      <w:r w:rsidRPr="00CC074B">
        <w:rPr>
          <w:rFonts w:ascii="Arial" w:hAnsi="Arial" w:cs="Arial"/>
          <w:color w:val="000000"/>
        </w:rPr>
        <w:t>Rafał Patoła</w:t>
      </w:r>
    </w:p>
    <w:p w14:paraId="62E8F964" w14:textId="77777777" w:rsidR="003A7066" w:rsidRDefault="003A7066" w:rsidP="003A7066">
      <w:pPr>
        <w:pStyle w:val="Tekstpodstawowy"/>
        <w:spacing w:line="360" w:lineRule="auto"/>
        <w:ind w:left="5664"/>
        <w:jc w:val="center"/>
        <w:rPr>
          <w:rFonts w:ascii="Arial" w:hAnsi="Arial" w:cs="Arial"/>
          <w:color w:val="000000"/>
        </w:rPr>
      </w:pPr>
      <w:r w:rsidRPr="00CC074B">
        <w:rPr>
          <w:rFonts w:ascii="Arial" w:hAnsi="Arial" w:cs="Arial"/>
          <w:color w:val="000000"/>
        </w:rPr>
        <w:t>Prokurent</w:t>
      </w:r>
    </w:p>
    <w:p w14:paraId="1EB46505" w14:textId="77777777" w:rsidR="003A7066" w:rsidRPr="005E41CB" w:rsidRDefault="003A7066" w:rsidP="003A7066">
      <w:pPr>
        <w:pStyle w:val="Tekstpodstawowy"/>
        <w:spacing w:line="360" w:lineRule="auto"/>
        <w:ind w:left="5664"/>
        <w:jc w:val="center"/>
        <w:rPr>
          <w:rFonts w:ascii="Arial" w:hAnsi="Arial" w:cs="Arial"/>
          <w:bCs/>
          <w:color w:val="000000"/>
        </w:rPr>
      </w:pPr>
      <w:r w:rsidRPr="00CC074B">
        <w:rPr>
          <w:rFonts w:ascii="Arial" w:hAnsi="Arial" w:cs="Arial"/>
          <w:color w:val="000000"/>
        </w:rPr>
        <w:t>/dokument podpisany elektronicznie/</w:t>
      </w:r>
      <w:bookmarkEnd w:id="1"/>
    </w:p>
    <w:p w14:paraId="099435AE" w14:textId="77777777" w:rsidR="00E67A0B" w:rsidRDefault="00E67A0B"/>
    <w:sectPr w:rsidR="00E67A0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0BF2FB" w14:textId="77777777" w:rsidR="009745BB" w:rsidRDefault="009745BB" w:rsidP="009745BB">
      <w:pPr>
        <w:spacing w:after="0" w:line="240" w:lineRule="auto"/>
      </w:pPr>
      <w:r>
        <w:separator/>
      </w:r>
    </w:p>
  </w:endnote>
  <w:endnote w:type="continuationSeparator" w:id="0">
    <w:p w14:paraId="5EB0D087" w14:textId="77777777" w:rsidR="009745BB" w:rsidRDefault="009745BB" w:rsidP="009745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EE"/>
    <w:family w:val="swiss"/>
    <w:pitch w:val="variable"/>
    <w:sig w:usb0="E0002EFF" w:usb1="C000247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EA0807" w14:textId="77777777" w:rsidR="009745BB" w:rsidRDefault="009745BB" w:rsidP="009745BB">
      <w:pPr>
        <w:spacing w:after="0" w:line="240" w:lineRule="auto"/>
      </w:pPr>
      <w:r>
        <w:separator/>
      </w:r>
    </w:p>
  </w:footnote>
  <w:footnote w:type="continuationSeparator" w:id="0">
    <w:p w14:paraId="48B8FF0D" w14:textId="77777777" w:rsidR="009745BB" w:rsidRDefault="009745BB" w:rsidP="009745BB">
      <w:pPr>
        <w:spacing w:after="0" w:line="240" w:lineRule="auto"/>
      </w:pPr>
      <w:r>
        <w:continuationSeparator/>
      </w:r>
    </w:p>
  </w:footnote>
  <w:footnote w:id="1">
    <w:p w14:paraId="4E7DE5A1" w14:textId="77777777" w:rsidR="00676E42" w:rsidRDefault="00676E42" w:rsidP="00676E4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754A9E"/>
    <w:multiLevelType w:val="hybridMultilevel"/>
    <w:tmpl w:val="C1264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D17"/>
    <w:rsid w:val="00151FA3"/>
    <w:rsid w:val="00187A71"/>
    <w:rsid w:val="001E1BB2"/>
    <w:rsid w:val="002615D2"/>
    <w:rsid w:val="002F0966"/>
    <w:rsid w:val="003A7066"/>
    <w:rsid w:val="0046665F"/>
    <w:rsid w:val="00525DCF"/>
    <w:rsid w:val="00554CF3"/>
    <w:rsid w:val="005C20EC"/>
    <w:rsid w:val="00676E42"/>
    <w:rsid w:val="006C596C"/>
    <w:rsid w:val="007E12A0"/>
    <w:rsid w:val="0087151A"/>
    <w:rsid w:val="008A581F"/>
    <w:rsid w:val="008C7AA0"/>
    <w:rsid w:val="008D0C64"/>
    <w:rsid w:val="008E56A8"/>
    <w:rsid w:val="008E76F7"/>
    <w:rsid w:val="009745BB"/>
    <w:rsid w:val="00B55BD4"/>
    <w:rsid w:val="00B7338D"/>
    <w:rsid w:val="00C96818"/>
    <w:rsid w:val="00D40D53"/>
    <w:rsid w:val="00D70D9B"/>
    <w:rsid w:val="00DC6D17"/>
    <w:rsid w:val="00E271DD"/>
    <w:rsid w:val="00E67A0B"/>
    <w:rsid w:val="00EA4A47"/>
    <w:rsid w:val="00F152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410AA"/>
  <w15:chartTrackingRefBased/>
  <w15:docId w15:val="{AB830824-DEF6-47ED-A4E7-E163EAFA5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25DC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525D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ist Paragraph,Dot pt,F5 List Paragraph,Recommendation,List Paragraph11,lp1,Preambuła,Numerowanie,L1,Akapit z listą5,Akapit normalny,Akapit z listą BS,Kolorowa lista — akcent 11,Akapit z listą1,Podsis rysunku"/>
    <w:basedOn w:val="Normalny"/>
    <w:link w:val="AkapitzlistZnak"/>
    <w:uiPriority w:val="34"/>
    <w:qFormat/>
    <w:rsid w:val="00525DCF"/>
    <w:pPr>
      <w:ind w:left="720"/>
      <w:contextualSpacing/>
    </w:pPr>
  </w:style>
  <w:style w:type="paragraph" w:styleId="Tekstprzypisudolnego">
    <w:name w:val="footnote text"/>
    <w:basedOn w:val="Normalny"/>
    <w:link w:val="TekstprzypisudolnegoZnak"/>
    <w:uiPriority w:val="99"/>
    <w:semiHidden/>
    <w:unhideWhenUsed/>
    <w:rsid w:val="00676E4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76E42"/>
    <w:rPr>
      <w:sz w:val="20"/>
      <w:szCs w:val="20"/>
    </w:rPr>
  </w:style>
  <w:style w:type="character" w:styleId="Odwoanieprzypisudolnego">
    <w:name w:val="footnote reference"/>
    <w:basedOn w:val="Domylnaczcionkaakapitu"/>
    <w:uiPriority w:val="99"/>
    <w:semiHidden/>
    <w:unhideWhenUsed/>
    <w:rsid w:val="00676E42"/>
    <w:rPr>
      <w:vertAlign w:val="superscript"/>
    </w:rPr>
  </w:style>
  <w:style w:type="character" w:customStyle="1" w:styleId="AkapitzlistZnak">
    <w:name w:val="Akapit z listą Znak"/>
    <w:aliases w:val="List Paragraph Znak,Dot pt Znak,F5 List Paragraph Znak,Recommendation Znak,List Paragraph11 Znak,lp1 Znak,Preambuła Znak,Numerowanie Znak,L1 Znak,Akapit z listą5 Znak,Akapit normalny Znak,Akapit z listą BS Znak,Akapit z listą1 Znak"/>
    <w:link w:val="Akapitzlist"/>
    <w:uiPriority w:val="34"/>
    <w:locked/>
    <w:rsid w:val="00676E42"/>
  </w:style>
  <w:style w:type="character" w:styleId="Hipercze">
    <w:name w:val="Hyperlink"/>
    <w:basedOn w:val="Domylnaczcionkaakapitu"/>
    <w:uiPriority w:val="99"/>
    <w:unhideWhenUsed/>
    <w:rsid w:val="001E1BB2"/>
    <w:rPr>
      <w:color w:val="0563C1" w:themeColor="hyperlink"/>
      <w:u w:val="single"/>
    </w:rPr>
  </w:style>
  <w:style w:type="paragraph" w:styleId="Tekstprzypisukocowego">
    <w:name w:val="endnote text"/>
    <w:basedOn w:val="Normalny"/>
    <w:link w:val="TekstprzypisukocowegoZnak"/>
    <w:uiPriority w:val="99"/>
    <w:semiHidden/>
    <w:unhideWhenUsed/>
    <w:rsid w:val="0046665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6665F"/>
    <w:rPr>
      <w:sz w:val="20"/>
      <w:szCs w:val="20"/>
    </w:rPr>
  </w:style>
  <w:style w:type="character" w:styleId="Odwoanieprzypisukocowego">
    <w:name w:val="endnote reference"/>
    <w:basedOn w:val="Domylnaczcionkaakapitu"/>
    <w:uiPriority w:val="99"/>
    <w:semiHidden/>
    <w:unhideWhenUsed/>
    <w:rsid w:val="0046665F"/>
    <w:rPr>
      <w:vertAlign w:val="superscript"/>
    </w:rPr>
  </w:style>
  <w:style w:type="character" w:customStyle="1" w:styleId="Inne">
    <w:name w:val="Inne_"/>
    <w:basedOn w:val="Domylnaczcionkaakapitu"/>
    <w:link w:val="Inne0"/>
    <w:rsid w:val="0087151A"/>
    <w:rPr>
      <w:rFonts w:ascii="Arial" w:eastAsia="Arial" w:hAnsi="Arial" w:cs="Arial"/>
      <w:sz w:val="15"/>
      <w:szCs w:val="15"/>
      <w:shd w:val="clear" w:color="auto" w:fill="FFFFFF"/>
    </w:rPr>
  </w:style>
  <w:style w:type="paragraph" w:customStyle="1" w:styleId="Inne0">
    <w:name w:val="Inne"/>
    <w:basedOn w:val="Normalny"/>
    <w:link w:val="Inne"/>
    <w:rsid w:val="0087151A"/>
    <w:pPr>
      <w:widowControl w:val="0"/>
      <w:shd w:val="clear" w:color="auto" w:fill="FFFFFF"/>
      <w:spacing w:after="180" w:line="427" w:lineRule="auto"/>
    </w:pPr>
    <w:rPr>
      <w:rFonts w:ascii="Arial" w:eastAsia="Arial" w:hAnsi="Arial" w:cs="Arial"/>
      <w:sz w:val="15"/>
      <w:szCs w:val="15"/>
    </w:rPr>
  </w:style>
  <w:style w:type="paragraph" w:styleId="Tekstpodstawowy">
    <w:name w:val="Body Text"/>
    <w:basedOn w:val="Normalny"/>
    <w:link w:val="TekstpodstawowyZnak"/>
    <w:uiPriority w:val="99"/>
    <w:rsid w:val="003A7066"/>
    <w:pPr>
      <w:spacing w:after="120" w:line="240" w:lineRule="auto"/>
      <w:jc w:val="both"/>
    </w:pPr>
    <w:rPr>
      <w:rFonts w:ascii="Calibri" w:eastAsia="Times New Roman" w:hAnsi="Calibri" w:cs="Times New Roman"/>
      <w:sz w:val="20"/>
      <w:szCs w:val="20"/>
      <w:lang w:val="x-none" w:eastAsia="x-none"/>
    </w:rPr>
  </w:style>
  <w:style w:type="character" w:customStyle="1" w:styleId="TekstpodstawowyZnak">
    <w:name w:val="Tekst podstawowy Znak"/>
    <w:basedOn w:val="Domylnaczcionkaakapitu"/>
    <w:link w:val="Tekstpodstawowy"/>
    <w:uiPriority w:val="99"/>
    <w:rsid w:val="003A7066"/>
    <w:rPr>
      <w:rFonts w:ascii="Calibri" w:eastAsia="Times New Roman" w:hAnsi="Calibri" w:cs="Times New Roman"/>
      <w:sz w:val="20"/>
      <w:szCs w:val="20"/>
      <w:lang w:val="x-none" w:eastAsia="x-none"/>
    </w:rPr>
  </w:style>
  <w:style w:type="character" w:styleId="Odwoaniedokomentarza">
    <w:name w:val="annotation reference"/>
    <w:basedOn w:val="Domylnaczcionkaakapitu"/>
    <w:uiPriority w:val="99"/>
    <w:semiHidden/>
    <w:unhideWhenUsed/>
    <w:rsid w:val="00151FA3"/>
    <w:rPr>
      <w:sz w:val="16"/>
      <w:szCs w:val="16"/>
    </w:rPr>
  </w:style>
  <w:style w:type="paragraph" w:styleId="Tekstkomentarza">
    <w:name w:val="annotation text"/>
    <w:basedOn w:val="Normalny"/>
    <w:link w:val="TekstkomentarzaZnak"/>
    <w:uiPriority w:val="99"/>
    <w:semiHidden/>
    <w:unhideWhenUsed/>
    <w:rsid w:val="00151FA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51FA3"/>
    <w:rPr>
      <w:sz w:val="20"/>
      <w:szCs w:val="20"/>
    </w:rPr>
  </w:style>
  <w:style w:type="paragraph" w:styleId="Tematkomentarza">
    <w:name w:val="annotation subject"/>
    <w:basedOn w:val="Tekstkomentarza"/>
    <w:next w:val="Tekstkomentarza"/>
    <w:link w:val="TematkomentarzaZnak"/>
    <w:uiPriority w:val="99"/>
    <w:semiHidden/>
    <w:unhideWhenUsed/>
    <w:rsid w:val="00151FA3"/>
    <w:rPr>
      <w:b/>
      <w:bCs/>
    </w:rPr>
  </w:style>
  <w:style w:type="character" w:customStyle="1" w:styleId="TematkomentarzaZnak">
    <w:name w:val="Temat komentarza Znak"/>
    <w:basedOn w:val="TekstkomentarzaZnak"/>
    <w:link w:val="Tematkomentarza"/>
    <w:uiPriority w:val="99"/>
    <w:semiHidden/>
    <w:rsid w:val="00151FA3"/>
    <w:rPr>
      <w:b/>
      <w:bCs/>
      <w:sz w:val="20"/>
      <w:szCs w:val="20"/>
    </w:rPr>
  </w:style>
  <w:style w:type="paragraph" w:styleId="Tekstdymka">
    <w:name w:val="Balloon Text"/>
    <w:basedOn w:val="Normalny"/>
    <w:link w:val="TekstdymkaZnak"/>
    <w:uiPriority w:val="99"/>
    <w:semiHidden/>
    <w:unhideWhenUsed/>
    <w:rsid w:val="00151F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51FA3"/>
    <w:rPr>
      <w:rFonts w:ascii="Segoe UI" w:hAnsi="Segoe UI" w:cs="Segoe UI"/>
      <w:sz w:val="18"/>
      <w:szCs w:val="18"/>
    </w:rPr>
  </w:style>
  <w:style w:type="paragraph" w:styleId="Poprawka">
    <w:name w:val="Revision"/>
    <w:hidden/>
    <w:uiPriority w:val="99"/>
    <w:semiHidden/>
    <w:rsid w:val="005C20E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sp-szkolenia.pzh.gov.pl" TargetMode="External"/><Relationship Id="rId3" Type="http://schemas.openxmlformats.org/officeDocument/2006/relationships/settings" Target="settings.xml"/><Relationship Id="rId7" Type="http://schemas.openxmlformats.org/officeDocument/2006/relationships/hyperlink" Target="http://isp-szkolenia.pzh.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nadzor.pzh.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8</Pages>
  <Words>3029</Words>
  <Characters>18327</Characters>
  <Application>Microsoft Office Word</Application>
  <DocSecurity>0</DocSecurity>
  <Lines>495</Lines>
  <Paragraphs>284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Małek Anna</dc:creator>
  <cp:keywords/>
  <dc:description/>
  <cp:lastModifiedBy>Małek Anna</cp:lastModifiedBy>
  <cp:revision>3</cp:revision>
  <dcterms:created xsi:type="dcterms:W3CDTF">2019-11-28T09:43:00Z</dcterms:created>
  <dcterms:modified xsi:type="dcterms:W3CDTF">2019-11-29T10:50:00Z</dcterms:modified>
</cp:coreProperties>
</file>